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DA076">
      <w:pPr>
        <w:spacing w:before="100" w:beforeAutospacing="1" w:after="100" w:afterAutospacing="1" w:line="440" w:lineRule="exact"/>
        <w:jc w:val="center"/>
        <w:rPr>
          <w:rFonts w:hint="eastAsia" w:eastAsiaTheme="minorEastAsia"/>
          <w:b/>
          <w:sz w:val="32"/>
          <w:szCs w:val="32"/>
          <w:lang w:eastAsia="zh-CN"/>
        </w:rPr>
      </w:pPr>
      <w:r>
        <w:rPr>
          <w:rFonts w:hint="eastAsia" w:ascii="宋体" w:hAnsi="宋体" w:eastAsia="宋体" w:cs="宋体"/>
          <w:b/>
          <w:bCs/>
          <w:sz w:val="44"/>
          <w:szCs w:val="44"/>
        </w:rPr>
        <w:t>珠海市第五人民医院网络安全设备及安全服务租赁</w:t>
      </w:r>
      <w:r>
        <w:rPr>
          <w:rFonts w:hint="eastAsia"/>
          <w:b/>
          <w:sz w:val="44"/>
          <w:szCs w:val="44"/>
          <w:lang w:val="en-US" w:eastAsia="zh-CN"/>
        </w:rPr>
        <w:t>目标及需求</w:t>
      </w:r>
    </w:p>
    <w:p w14:paraId="777D6C19">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 项目背景</w:t>
      </w:r>
    </w:p>
    <w:p w14:paraId="5E0B682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信息安全等级保护制度是国家信息安全保障工作的基础，也是一项事关国家安全、社会稳定的政治任务。</w:t>
      </w:r>
    </w:p>
    <w:p w14:paraId="4E6FE2E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目前，我院信息化应用水平较前期得到较大提升，信息化在提升医疗服务效率、保障医疗质量方面发挥着较为重要的作用。随着信息化的发展，院内服务器网络设备、电脑自助机、医护交互等智能终端设备、业务系统等数量快速增长。面对日益复杂的网络环境，医院现有安全设备已无法提供基本的安全保障，医院整体性网络信息安全规划变得十分重要和迫切。</w:t>
      </w:r>
    </w:p>
    <w:p w14:paraId="412DBE6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我院现有安全设备6台，其中：1台华为防火墙，采购时间为2013年，另有绿盟防火墙、IPS入侵检测、堡垒机、日志审计、数据库审计各1台采购时间为2017年</w:t>
      </w:r>
      <w:r>
        <w:rPr>
          <w:rFonts w:hint="eastAsia" w:ascii="宋体" w:hAnsi="宋体" w:eastAsia="宋体" w:cs="宋体"/>
          <w:sz w:val="24"/>
          <w:szCs w:val="24"/>
          <w:lang w:eastAsia="zh-CN"/>
        </w:rPr>
        <w:t>。</w:t>
      </w:r>
      <w:r>
        <w:rPr>
          <w:rFonts w:hint="eastAsia" w:ascii="宋体" w:hAnsi="宋体" w:eastAsia="宋体" w:cs="宋体"/>
          <w:sz w:val="24"/>
          <w:szCs w:val="24"/>
        </w:rPr>
        <w:t>以上设备均已过期过保。</w:t>
      </w:r>
    </w:p>
    <w:p w14:paraId="78631EC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2019年，我院通过等级保护1.0的测评，备案系统包括HIS和LIS两个主业务系统。相关的安全设备：防火墙、堡垒机、日子审计、数据库审计、入侵防御检测IPS、网页防篡改（1个网站点）。</w:t>
      </w:r>
    </w:p>
    <w:p w14:paraId="1628B1F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2021年5月，我院信息系统整体更换后，尚未进行相应的等保测评定级，根据国家政策对医院信息安全的要求，我院急需对于病历、HIS、LIS、PACS等</w:t>
      </w:r>
      <w:r>
        <w:rPr>
          <w:rFonts w:hint="eastAsia" w:ascii="宋体" w:hAnsi="宋体" w:eastAsia="宋体" w:cs="宋体"/>
          <w:sz w:val="24"/>
          <w:szCs w:val="24"/>
          <w:lang w:val="en-US" w:eastAsia="zh-CN"/>
        </w:rPr>
        <w:t>4</w:t>
      </w:r>
      <w:r>
        <w:rPr>
          <w:rFonts w:hint="eastAsia" w:ascii="宋体" w:hAnsi="宋体" w:eastAsia="宋体" w:cs="宋体"/>
          <w:sz w:val="24"/>
          <w:szCs w:val="24"/>
        </w:rPr>
        <w:t>个核心系统开展等保第3级定级工作。</w:t>
      </w:r>
    </w:p>
    <w:p w14:paraId="3D709925">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b/>
          <w:bCs/>
          <w:sz w:val="24"/>
          <w:szCs w:val="24"/>
        </w:rPr>
      </w:pPr>
      <w:r>
        <w:rPr>
          <w:rFonts w:hint="eastAsia" w:ascii="宋体" w:hAnsi="宋体" w:eastAsia="宋体" w:cs="宋体"/>
          <w:sz w:val="24"/>
          <w:szCs w:val="24"/>
        </w:rPr>
        <w:t>为有效保障等保定级工作顺利开展，我院将根据三级等保评测标准，对医院现状进行差异分析及评估，根据差评报告，对标建设，提高系统安全防护能力，降低被攻击的风险。因此，</w:t>
      </w:r>
      <w:r>
        <w:rPr>
          <w:rFonts w:hint="eastAsia" w:ascii="宋体" w:hAnsi="宋体" w:eastAsia="宋体" w:cs="宋体"/>
          <w:b/>
          <w:bCs/>
          <w:sz w:val="24"/>
          <w:szCs w:val="24"/>
        </w:rPr>
        <w:t>我院安全等保项目建设一是要满足等保第3级评测要求，二是要满足我院整体安全性目标。</w:t>
      </w:r>
    </w:p>
    <w:p w14:paraId="3C2AB3F6">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2" w:firstLineChars="200"/>
        <w:textAlignment w:val="auto"/>
        <w:outlineLvl w:val="1"/>
        <w:rPr>
          <w:rFonts w:hint="eastAsia" w:ascii="宋体" w:hAnsi="宋体" w:eastAsia="宋体" w:cs="宋体"/>
          <w:b/>
          <w:sz w:val="24"/>
          <w:szCs w:val="24"/>
        </w:rPr>
      </w:pPr>
      <w:r>
        <w:rPr>
          <w:rFonts w:hint="eastAsia" w:ascii="宋体" w:hAnsi="宋体" w:eastAsia="宋体" w:cs="宋体"/>
          <w:b/>
          <w:sz w:val="24"/>
          <w:szCs w:val="24"/>
        </w:rPr>
        <w:t>二、建设目标</w:t>
      </w:r>
    </w:p>
    <w:p w14:paraId="42179833">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目标：</w:t>
      </w:r>
      <w:r>
        <w:rPr>
          <w:rFonts w:hint="eastAsia" w:ascii="宋体" w:hAnsi="宋体" w:eastAsia="宋体" w:cs="宋体"/>
          <w:sz w:val="24"/>
          <w:szCs w:val="24"/>
        </w:rPr>
        <w:t>根据计算机等级保护2.0测评标准，对病历、HIS、LIS、PACS等核心业务系统进行三级等保改造，根据评测差异报告，对标建设，提高信息系统安全防护能力，降低系统被各种攻击的风险。</w:t>
      </w:r>
    </w:p>
    <w:p w14:paraId="1182DAC2">
      <w:pPr>
        <w:keepNext w:val="0"/>
        <w:keepLines w:val="0"/>
        <w:pageBreakBefore w:val="0"/>
        <w:widowControl w:val="0"/>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sz w:val="24"/>
          <w:szCs w:val="24"/>
        </w:rPr>
      </w:pPr>
      <w:r>
        <w:rPr>
          <w:rFonts w:hint="eastAsia" w:ascii="宋体" w:hAnsi="宋体" w:eastAsia="宋体" w:cs="宋体"/>
          <w:b/>
          <w:sz w:val="24"/>
          <w:szCs w:val="24"/>
        </w:rPr>
        <w:t>重点实现：</w:t>
      </w:r>
    </w:p>
    <w:p w14:paraId="5BC600DD">
      <w:pPr>
        <w:spacing w:line="440" w:lineRule="exact"/>
        <w:rPr>
          <w:rFonts w:hint="eastAsia" w:ascii="宋体" w:hAnsi="宋体" w:eastAsia="宋体" w:cs="宋体"/>
          <w:sz w:val="24"/>
          <w:szCs w:val="24"/>
        </w:rPr>
      </w:pPr>
      <w:r>
        <w:rPr>
          <w:rFonts w:hint="eastAsia" w:ascii="宋体" w:hAnsi="宋体" w:eastAsia="宋体" w:cs="宋体"/>
          <w:b/>
          <w:sz w:val="24"/>
          <w:szCs w:val="24"/>
        </w:rPr>
        <w:t>目标一：实现核心业务系统等保第3级定级；</w:t>
      </w:r>
    </w:p>
    <w:p w14:paraId="4A8F4B17">
      <w:pPr>
        <w:spacing w:line="440" w:lineRule="exact"/>
        <w:rPr>
          <w:rFonts w:hint="eastAsia" w:ascii="宋体" w:hAnsi="宋体" w:eastAsia="宋体" w:cs="宋体"/>
          <w:sz w:val="24"/>
          <w:szCs w:val="24"/>
        </w:rPr>
      </w:pPr>
      <w:r>
        <w:rPr>
          <w:rFonts w:hint="eastAsia" w:ascii="宋体" w:hAnsi="宋体" w:eastAsia="宋体" w:cs="宋体"/>
          <w:b/>
          <w:sz w:val="24"/>
          <w:szCs w:val="24"/>
        </w:rPr>
        <w:t>目标二：建立“</w:t>
      </w:r>
      <w:r>
        <w:rPr>
          <w:rFonts w:hint="eastAsia" w:ascii="宋体" w:hAnsi="宋体" w:eastAsia="宋体" w:cs="宋体"/>
          <w:sz w:val="24"/>
          <w:szCs w:val="24"/>
        </w:rPr>
        <w:t>技术+管理+服务</w:t>
      </w:r>
      <w:r>
        <w:rPr>
          <w:rFonts w:hint="eastAsia" w:ascii="宋体" w:hAnsi="宋体" w:eastAsia="宋体" w:cs="宋体"/>
          <w:b/>
          <w:sz w:val="24"/>
          <w:szCs w:val="24"/>
        </w:rPr>
        <w:t>”，完善的安全技术防护体系</w:t>
      </w:r>
    </w:p>
    <w:p w14:paraId="69043AA8">
      <w:pPr>
        <w:spacing w:line="440" w:lineRule="exact"/>
        <w:ind w:left="840" w:leftChars="400"/>
        <w:rPr>
          <w:rFonts w:hint="eastAsia" w:ascii="宋体" w:hAnsi="宋体" w:eastAsia="宋体" w:cs="宋体"/>
          <w:sz w:val="24"/>
          <w:szCs w:val="24"/>
        </w:rPr>
      </w:pPr>
      <w:r>
        <w:rPr>
          <w:rFonts w:hint="eastAsia" w:ascii="宋体" w:hAnsi="宋体" w:eastAsia="宋体" w:cs="宋体"/>
          <w:sz w:val="24"/>
          <w:szCs w:val="24"/>
        </w:rPr>
        <w:t>根据《信息安全技术 网络安全等级保护基本要求》（GB/T 22239-2019）的有关规定要求，建立满足等级保护要求的安全技术防护体系。 通过项目建设，达到医院网络信息管理的整体性安全，包括不限于</w:t>
      </w:r>
      <w:r>
        <w:rPr>
          <w:rFonts w:hint="eastAsia" w:ascii="宋体" w:hAnsi="宋体" w:eastAsia="宋体" w:cs="宋体"/>
          <w:b/>
          <w:sz w:val="24"/>
          <w:szCs w:val="24"/>
        </w:rPr>
        <w:t>桌面终端管理安全</w:t>
      </w:r>
      <w:r>
        <w:rPr>
          <w:rFonts w:hint="eastAsia" w:ascii="宋体" w:hAnsi="宋体" w:eastAsia="宋体" w:cs="宋体"/>
          <w:sz w:val="24"/>
          <w:szCs w:val="24"/>
        </w:rPr>
        <w:t>、</w:t>
      </w:r>
      <w:r>
        <w:rPr>
          <w:rFonts w:hint="eastAsia" w:ascii="宋体" w:hAnsi="宋体" w:eastAsia="宋体" w:cs="宋体"/>
          <w:b/>
          <w:sz w:val="24"/>
          <w:szCs w:val="24"/>
        </w:rPr>
        <w:t>网络终端安全、内部应用安全、互联网外部安全、信息数据等资源安全、人员操作及运维安全、自助机、大屏等接入设备安全、监控摄像安全</w:t>
      </w:r>
      <w:r>
        <w:rPr>
          <w:rFonts w:hint="eastAsia" w:ascii="宋体" w:hAnsi="宋体" w:eastAsia="宋体" w:cs="宋体"/>
          <w:b/>
          <w:sz w:val="24"/>
          <w:szCs w:val="24"/>
          <w:lang w:eastAsia="zh-CN"/>
        </w:rPr>
        <w:t>以及</w:t>
      </w:r>
      <w:r>
        <w:rPr>
          <w:rFonts w:hint="eastAsia" w:ascii="宋体" w:hAnsi="宋体" w:eastAsia="宋体" w:cs="宋体"/>
          <w:b/>
          <w:sz w:val="24"/>
          <w:szCs w:val="24"/>
        </w:rPr>
        <w:t>弱电系统的整体性安全</w:t>
      </w:r>
      <w:r>
        <w:rPr>
          <w:rFonts w:hint="eastAsia" w:ascii="宋体" w:hAnsi="宋体" w:eastAsia="宋体" w:cs="宋体"/>
          <w:sz w:val="24"/>
          <w:szCs w:val="24"/>
        </w:rPr>
        <w:t>；</w:t>
      </w:r>
    </w:p>
    <w:p w14:paraId="7FE4B510">
      <w:pPr>
        <w:spacing w:line="440" w:lineRule="exact"/>
        <w:ind w:left="843" w:hanging="964" w:hangingChars="400"/>
        <w:rPr>
          <w:rFonts w:hint="eastAsia" w:ascii="宋体" w:hAnsi="宋体" w:eastAsia="宋体" w:cs="宋体"/>
          <w:sz w:val="24"/>
          <w:szCs w:val="24"/>
        </w:rPr>
      </w:pPr>
      <w:r>
        <w:rPr>
          <w:rFonts w:hint="eastAsia" w:ascii="宋体" w:hAnsi="宋体" w:eastAsia="宋体" w:cs="宋体"/>
          <w:b/>
          <w:sz w:val="24"/>
          <w:szCs w:val="24"/>
        </w:rPr>
        <w:t>目标三：建立零信任安全架构，实现“攻击进不来，文件拿不走，信息看不懂，数据丢不了，行为赖不掉”</w:t>
      </w:r>
      <w:r>
        <w:rPr>
          <w:rFonts w:hint="eastAsia" w:ascii="宋体" w:hAnsi="宋体" w:eastAsia="宋体" w:cs="宋体"/>
          <w:sz w:val="24"/>
          <w:szCs w:val="24"/>
        </w:rPr>
        <w:t>，实现业务系统供应链安全，形成较强风险应对能力的安全闭环体系；</w:t>
      </w:r>
    </w:p>
    <w:p w14:paraId="4AEE4BED">
      <w:pPr>
        <w:spacing w:line="440" w:lineRule="exact"/>
        <w:rPr>
          <w:rFonts w:hint="eastAsia" w:ascii="宋体" w:hAnsi="宋体" w:eastAsia="宋体" w:cs="宋体"/>
          <w:b/>
          <w:sz w:val="24"/>
          <w:szCs w:val="24"/>
        </w:rPr>
      </w:pPr>
      <w:r>
        <w:rPr>
          <w:rFonts w:hint="eastAsia" w:ascii="宋体" w:hAnsi="宋体" w:eastAsia="宋体" w:cs="宋体"/>
          <w:b/>
          <w:sz w:val="24"/>
          <w:szCs w:val="24"/>
        </w:rPr>
        <w:t>目标四：建立以IP 为基础的统一的一体化网络管理平台</w:t>
      </w:r>
    </w:p>
    <w:p w14:paraId="13E04E06">
      <w:pPr>
        <w:spacing w:line="440" w:lineRule="exact"/>
        <w:ind w:left="840" w:leftChars="400"/>
        <w:rPr>
          <w:rFonts w:hint="eastAsia" w:ascii="宋体" w:hAnsi="宋体" w:eastAsia="宋体" w:cs="宋体"/>
          <w:sz w:val="24"/>
          <w:szCs w:val="24"/>
        </w:rPr>
      </w:pPr>
      <w:r>
        <w:rPr>
          <w:rFonts w:hint="eastAsia" w:ascii="宋体" w:hAnsi="宋体" w:eastAsia="宋体" w:cs="宋体"/>
          <w:sz w:val="24"/>
          <w:szCs w:val="24"/>
        </w:rPr>
        <w:t>整合数据、语音和图像等多种端到端业务场景，支持多协议、多业务、安全策略、流量管理、服务质量管理、资源管理。优化医院整体门诊楼、急诊楼、住院楼及行政楼的网络架构，构造高可靠、高稳定的无阻塞访问网络，网络设计不仅要体现当前网络多业务服务的发展趋势，同时需要具有最灵活的适应、扩展能力。</w:t>
      </w:r>
    </w:p>
    <w:p w14:paraId="6C07B4F7">
      <w:pPr>
        <w:spacing w:line="440" w:lineRule="exact"/>
        <w:ind w:left="843" w:hanging="964" w:hangingChars="400"/>
        <w:rPr>
          <w:rFonts w:hint="eastAsia" w:ascii="宋体" w:hAnsi="宋体" w:eastAsia="宋体" w:cs="宋体"/>
          <w:sz w:val="24"/>
          <w:szCs w:val="24"/>
        </w:rPr>
      </w:pPr>
      <w:r>
        <w:rPr>
          <w:rFonts w:hint="eastAsia" w:ascii="宋体" w:hAnsi="宋体" w:eastAsia="宋体" w:cs="宋体"/>
          <w:b/>
          <w:sz w:val="24"/>
          <w:szCs w:val="24"/>
        </w:rPr>
        <w:t>目标五：</w:t>
      </w:r>
      <w:r>
        <w:rPr>
          <w:rFonts w:hint="eastAsia" w:ascii="宋体" w:hAnsi="宋体" w:eastAsia="宋体" w:cs="宋体"/>
          <w:sz w:val="24"/>
          <w:szCs w:val="24"/>
        </w:rPr>
        <w:t>建立符合医院实际的应急响应机制，能迅速应对突发网络安全事件，建立健全信息</w:t>
      </w:r>
      <w:r>
        <w:rPr>
          <w:rFonts w:hint="eastAsia" w:ascii="宋体" w:hAnsi="宋体" w:eastAsia="宋体" w:cs="宋体"/>
          <w:b/>
          <w:sz w:val="24"/>
          <w:szCs w:val="24"/>
        </w:rPr>
        <w:t>安全管理制度</w:t>
      </w:r>
      <w:r>
        <w:rPr>
          <w:rFonts w:hint="eastAsia" w:ascii="宋体" w:hAnsi="宋体" w:eastAsia="宋体" w:cs="宋体"/>
          <w:sz w:val="24"/>
          <w:szCs w:val="24"/>
        </w:rPr>
        <w:t>；</w:t>
      </w:r>
    </w:p>
    <w:p w14:paraId="4170C566">
      <w:pPr>
        <w:spacing w:line="440" w:lineRule="exact"/>
        <w:ind w:left="840" w:leftChars="400"/>
        <w:rPr>
          <w:rFonts w:hint="eastAsia" w:ascii="宋体" w:hAnsi="宋体" w:eastAsia="宋体" w:cs="宋体"/>
          <w:sz w:val="24"/>
          <w:szCs w:val="24"/>
        </w:rPr>
      </w:pPr>
      <w:r>
        <w:rPr>
          <w:rFonts w:hint="eastAsia" w:ascii="宋体" w:hAnsi="宋体" w:eastAsia="宋体" w:cs="宋体"/>
          <w:sz w:val="24"/>
          <w:szCs w:val="24"/>
        </w:rPr>
        <w:t>根据网络安全等级保护的要求，制定各项信息系统安全管理制度，对安全管理人员或操作人员执行的重要管理操作建立操作规程和执行记录文档。</w:t>
      </w:r>
    </w:p>
    <w:p w14:paraId="3A1479C6">
      <w:pPr>
        <w:spacing w:line="440" w:lineRule="exact"/>
        <w:ind w:left="843" w:hanging="964" w:hangingChars="400"/>
        <w:rPr>
          <w:rFonts w:hint="eastAsia" w:ascii="宋体" w:hAnsi="宋体" w:eastAsia="宋体" w:cs="宋体"/>
          <w:sz w:val="24"/>
          <w:szCs w:val="24"/>
        </w:rPr>
      </w:pPr>
      <w:r>
        <w:rPr>
          <w:rFonts w:hint="eastAsia" w:ascii="宋体" w:hAnsi="宋体" w:eastAsia="宋体" w:cs="宋体"/>
          <w:b/>
          <w:sz w:val="24"/>
          <w:szCs w:val="24"/>
        </w:rPr>
        <w:t>目标六：构建数据安全分类管理的安全体系。</w:t>
      </w:r>
      <w:r>
        <w:rPr>
          <w:rFonts w:hint="eastAsia" w:ascii="宋体" w:hAnsi="宋体" w:eastAsia="宋体" w:cs="宋体"/>
          <w:sz w:val="24"/>
          <w:szCs w:val="24"/>
        </w:rPr>
        <w:t>实现数据采集、传输、存储、处理、交换、销毁全过程安全治理；</w:t>
      </w:r>
    </w:p>
    <w:p w14:paraId="75F64C9F">
      <w:pPr>
        <w:spacing w:line="440" w:lineRule="exact"/>
        <w:ind w:left="840" w:leftChars="400"/>
        <w:rPr>
          <w:rFonts w:hint="eastAsia" w:ascii="宋体" w:hAnsi="宋体" w:eastAsia="宋体" w:cs="宋体"/>
          <w:sz w:val="24"/>
          <w:szCs w:val="24"/>
        </w:rPr>
      </w:pPr>
      <w:r>
        <w:rPr>
          <w:rFonts w:hint="eastAsia" w:ascii="宋体" w:hAnsi="宋体" w:eastAsia="宋体" w:cs="宋体"/>
          <w:sz w:val="24"/>
          <w:szCs w:val="24"/>
        </w:rPr>
        <w:t>通过数据安全治理，明确内部数据资产，明确内部人员角色、工作责任和重要数据相关的业务流程，识别数据安全风险以及内部威胁，综合技术和管理、制度等，实现数据全生命周期的防护，确保数据资产能长期有序地、可持续地得到管理与保护，最终构建出高效稳定持久的</w:t>
      </w:r>
      <w:r>
        <w:rPr>
          <w:rFonts w:hint="eastAsia" w:ascii="宋体" w:hAnsi="宋体" w:eastAsia="宋体" w:cs="宋体"/>
          <w:b/>
          <w:sz w:val="24"/>
          <w:szCs w:val="24"/>
        </w:rPr>
        <w:t>数据安全防护体系</w:t>
      </w:r>
      <w:r>
        <w:rPr>
          <w:rFonts w:hint="eastAsia" w:ascii="宋体" w:hAnsi="宋体" w:eastAsia="宋体" w:cs="宋体"/>
          <w:sz w:val="24"/>
          <w:szCs w:val="24"/>
        </w:rPr>
        <w:t>。</w:t>
      </w:r>
    </w:p>
    <w:p w14:paraId="4AB9CC09">
      <w:pPr>
        <w:spacing w:line="440" w:lineRule="exact"/>
        <w:rPr>
          <w:rFonts w:hint="eastAsia" w:ascii="宋体" w:hAnsi="宋体" w:eastAsia="宋体" w:cs="宋体"/>
          <w:sz w:val="24"/>
          <w:szCs w:val="24"/>
        </w:rPr>
      </w:pPr>
      <w:r>
        <w:rPr>
          <w:rFonts w:hint="eastAsia" w:ascii="宋体" w:hAnsi="宋体" w:eastAsia="宋体" w:cs="宋体"/>
          <w:b/>
          <w:sz w:val="24"/>
          <w:szCs w:val="24"/>
        </w:rPr>
        <w:t>目标七：</w:t>
      </w:r>
      <w:r>
        <w:rPr>
          <w:rFonts w:hint="eastAsia" w:ascii="宋体" w:hAnsi="宋体" w:eastAsia="宋体" w:cs="宋体"/>
          <w:sz w:val="24"/>
          <w:szCs w:val="24"/>
        </w:rPr>
        <w:t>达到国家电子病历五级规范建设要求，院内外医疗数据交互符合安全性；</w:t>
      </w:r>
    </w:p>
    <w:p w14:paraId="05F910BD">
      <w:pPr>
        <w:spacing w:line="440" w:lineRule="exact"/>
        <w:rPr>
          <w:rFonts w:hint="eastAsia" w:ascii="宋体" w:hAnsi="宋体" w:eastAsia="宋体" w:cs="宋体"/>
          <w:sz w:val="24"/>
          <w:szCs w:val="24"/>
        </w:rPr>
      </w:pPr>
      <w:r>
        <w:rPr>
          <w:rFonts w:hint="eastAsia" w:ascii="宋体" w:hAnsi="宋体" w:eastAsia="宋体" w:cs="宋体"/>
          <w:b/>
          <w:sz w:val="24"/>
          <w:szCs w:val="24"/>
        </w:rPr>
        <w:t>目标八：</w:t>
      </w:r>
      <w:r>
        <w:rPr>
          <w:rFonts w:hint="eastAsia" w:ascii="宋体" w:hAnsi="宋体" w:eastAsia="宋体" w:cs="宋体"/>
          <w:sz w:val="24"/>
          <w:szCs w:val="24"/>
        </w:rPr>
        <w:t>达到互联互通成熟度标准化建设要求，信息系统数据共享符合安全性；</w:t>
      </w:r>
    </w:p>
    <w:p w14:paraId="7588EB38">
      <w:pPr>
        <w:spacing w:line="440" w:lineRule="exact"/>
        <w:ind w:left="843" w:hanging="964" w:hangingChars="400"/>
        <w:rPr>
          <w:rFonts w:hint="eastAsia" w:ascii="宋体" w:hAnsi="宋体" w:eastAsia="宋体" w:cs="宋体"/>
          <w:sz w:val="24"/>
          <w:szCs w:val="24"/>
        </w:rPr>
      </w:pPr>
      <w:r>
        <w:rPr>
          <w:rFonts w:hint="eastAsia" w:ascii="宋体" w:hAnsi="宋体" w:eastAsia="宋体" w:cs="宋体"/>
          <w:b/>
          <w:sz w:val="24"/>
          <w:szCs w:val="24"/>
        </w:rPr>
        <w:t>目标九：</w:t>
      </w:r>
      <w:r>
        <w:rPr>
          <w:rFonts w:hint="eastAsia" w:ascii="宋体" w:hAnsi="宋体" w:eastAsia="宋体" w:cs="宋体"/>
          <w:sz w:val="24"/>
          <w:szCs w:val="24"/>
        </w:rPr>
        <w:t>达到智慧医院管理，智慧医院服务评测要求，提高医院防护能力，以保障医疗业务的稳定正常开展。</w:t>
      </w:r>
    </w:p>
    <w:p w14:paraId="01CB1D28">
      <w:pPr>
        <w:spacing w:line="440" w:lineRule="exact"/>
        <w:ind w:left="843" w:hanging="960" w:hangingChars="400"/>
        <w:rPr>
          <w:rFonts w:hint="eastAsia" w:ascii="宋体" w:hAnsi="宋体" w:eastAsia="宋体" w:cs="宋体"/>
          <w:sz w:val="24"/>
          <w:szCs w:val="24"/>
        </w:rPr>
      </w:pPr>
    </w:p>
    <w:p w14:paraId="7FFAD066">
      <w:pPr>
        <w:keepNext w:val="0"/>
        <w:keepLines w:val="0"/>
        <w:pageBreakBefore w:val="0"/>
        <w:widowControl w:val="0"/>
        <w:kinsoku/>
        <w:wordWrap/>
        <w:overflowPunct/>
        <w:topLinePunct w:val="0"/>
        <w:autoSpaceDE/>
        <w:autoSpaceDN/>
        <w:bidi w:val="0"/>
        <w:adjustRightInd/>
        <w:snapToGrid/>
        <w:spacing w:beforeAutospacing="0" w:afterAutospacing="0" w:line="440" w:lineRule="exact"/>
        <w:textAlignment w:val="auto"/>
        <w:outlineLvl w:val="1"/>
        <w:rPr>
          <w:rFonts w:hint="eastAsia" w:ascii="宋体" w:hAnsi="宋体" w:eastAsia="宋体" w:cs="宋体"/>
          <w:b/>
          <w:sz w:val="24"/>
          <w:szCs w:val="24"/>
        </w:rPr>
      </w:pPr>
      <w:r>
        <w:rPr>
          <w:rFonts w:hint="eastAsia" w:ascii="宋体" w:hAnsi="宋体" w:eastAsia="宋体" w:cs="宋体"/>
          <w:b/>
          <w:sz w:val="24"/>
          <w:szCs w:val="24"/>
        </w:rPr>
        <w:t>三、项目建设依据</w:t>
      </w:r>
    </w:p>
    <w:p w14:paraId="3C0A036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国家政策对网络信息安全的要求：</w:t>
      </w:r>
    </w:p>
    <w:p w14:paraId="40810B70">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2017年，《中华人民共和国网络安全法》的正式实施，标志着等级保护2.0的正式启动。网络安全法明确“国家实行网络安全等级保护制度。”（第21条）、“国家对一旦遭到破坏、丧失功能或者数据泄露，可能严重危害国家安全、国计民生、公共利益的关键信息基础设施，在网络安全等级保护制度的基础上，实行重点保护。”（第31条）。</w:t>
      </w:r>
    </w:p>
    <w:p w14:paraId="0DDBB892">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根据《网络安全法》要求医院属于关基部门，涉及人民群众重要的个人信息，必须依法保障医院网络信息安全，落实“网络安全等级保护制度”，“用户信息保护制度”，“关键信息基础设施重点保护制度”；</w:t>
      </w:r>
    </w:p>
    <w:p w14:paraId="59621092">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（2）国家电子病历评审规范建设，要求院内外医疗数据交互符合安全性要求；</w:t>
      </w:r>
    </w:p>
    <w:p w14:paraId="3434F3C3">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（3）互联互通成熟度标准化建设，要求信息系统数据共享符合安全性；</w:t>
      </w:r>
    </w:p>
    <w:p w14:paraId="3D6D1835">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（4）智慧医院管理，智慧医院服务评测要求，医院必须提高自身的防护能力，以保障医疗业务的正常开展。</w:t>
      </w:r>
    </w:p>
    <w:p w14:paraId="757B495A">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（5）2022年，国家卫生健康委关于印发《三级医院评审标准（2022年版）》及其实施细则的通知，国卫医政发〔2022〕31号规定了重要业务系统必须达到等保三级标准才满足三级医院评审标准中对于网络安全的要求。</w:t>
      </w:r>
    </w:p>
    <w:p w14:paraId="411C47F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（6）《信息系统安全等级保护管理办法》</w:t>
      </w:r>
    </w:p>
    <w:p w14:paraId="77E994D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信息系统安全等级保护管理办法（以下简称“等级保护制度”）作为信息安全系统分级分类保护的一项国家标准，对于完善信息安全法规和标准体系，提高安全建设的整体水平，增强信息系统安全保护的整体性、针对性和时效性具有非常重要的意义。等级保护制度规定国家信息安全等级保护坚持自主定级、自主保护的原则。信息系统的安全保护等级应当根据信息系统在国家安全、经济建设、社会生活中的重要程度，信息系统遭到破坏后对国家安全、社会秩序、公共利益以及公民、法人和其他组织的合法权益的危害程度等因素确定。</w:t>
      </w:r>
    </w:p>
    <w:p w14:paraId="523EB123">
      <w:pPr>
        <w:keepNext w:val="0"/>
        <w:keepLines w:val="0"/>
        <w:pageBreakBefore w:val="0"/>
        <w:widowControl w:val="0"/>
        <w:kinsoku/>
        <w:wordWrap/>
        <w:overflowPunct/>
        <w:topLinePunct w:val="0"/>
        <w:autoSpaceDE/>
        <w:autoSpaceDN/>
        <w:bidi w:val="0"/>
        <w:adjustRightInd/>
        <w:snapToGrid/>
        <w:spacing w:beforeAutospacing="0" w:afterAutospacing="0" w:line="440" w:lineRule="exact"/>
        <w:textAlignment w:val="auto"/>
        <w:outlineLvl w:val="1"/>
        <w:rPr>
          <w:rFonts w:hint="eastAsia" w:ascii="宋体" w:hAnsi="宋体" w:eastAsia="宋体" w:cs="宋体"/>
          <w:b/>
          <w:sz w:val="24"/>
          <w:szCs w:val="24"/>
        </w:rPr>
      </w:pPr>
      <w:r>
        <w:rPr>
          <w:rFonts w:hint="eastAsia" w:ascii="宋体" w:hAnsi="宋体" w:eastAsia="宋体" w:cs="宋体"/>
          <w:b/>
          <w:sz w:val="24"/>
          <w:szCs w:val="24"/>
        </w:rPr>
        <w:t>四、安全建设需求</w:t>
      </w:r>
    </w:p>
    <w:p w14:paraId="572CB0A6">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安全等保项目建设总体需求，一是满足等保第3级评测要求，二是满足我院整体安全性目标。</w:t>
      </w:r>
    </w:p>
    <w:p w14:paraId="1EDCBC17">
      <w:pPr>
        <w:outlineLvl w:val="2"/>
        <w:rPr>
          <w:rFonts w:hint="eastAsia" w:ascii="宋体" w:hAnsi="宋体" w:eastAsia="宋体" w:cs="宋体"/>
          <w:b/>
          <w:sz w:val="24"/>
          <w:szCs w:val="24"/>
        </w:rPr>
      </w:pPr>
      <w:r>
        <w:rPr>
          <w:rFonts w:hint="eastAsia" w:ascii="宋体" w:hAnsi="宋体" w:eastAsia="宋体" w:cs="宋体"/>
          <w:b/>
          <w:sz w:val="24"/>
          <w:szCs w:val="24"/>
        </w:rPr>
        <w:t>4.1 整体性需求</w:t>
      </w:r>
      <w:bookmarkStart w:id="0" w:name="_GoBack"/>
      <w:bookmarkEnd w:id="0"/>
    </w:p>
    <w:p w14:paraId="141092AC">
      <w:pPr>
        <w:ind w:firstLine="480" w:firstLineChars="200"/>
        <w:rPr>
          <w:rFonts w:hint="eastAsia" w:ascii="宋体" w:hAnsi="宋体" w:eastAsia="宋体" w:cs="宋体"/>
          <w:sz w:val="24"/>
          <w:szCs w:val="24"/>
        </w:rPr>
      </w:pPr>
      <w:r>
        <w:rPr>
          <w:rFonts w:hint="eastAsia" w:ascii="宋体" w:hAnsi="宋体" w:eastAsia="宋体" w:cs="宋体"/>
          <w:sz w:val="24"/>
          <w:szCs w:val="24"/>
        </w:rPr>
        <w:t>医院网络信息安全建设的设计实现，至少满足以下两点：</w:t>
      </w:r>
    </w:p>
    <w:p w14:paraId="6B5C9669">
      <w:pPr>
        <w:pStyle w:val="14"/>
        <w:numPr>
          <w:ilvl w:val="0"/>
          <w:numId w:val="1"/>
        </w:numPr>
        <w:ind w:left="0" w:leftChars="0" w:firstLine="420" w:firstLineChars="0"/>
        <w:rPr>
          <w:rFonts w:hint="eastAsia" w:ascii="宋体" w:hAnsi="宋体" w:eastAsia="宋体" w:cs="宋体"/>
          <w:sz w:val="24"/>
          <w:szCs w:val="24"/>
        </w:rPr>
      </w:pPr>
      <w:r>
        <w:rPr>
          <w:rFonts w:hint="eastAsia" w:ascii="宋体" w:hAnsi="宋体" w:eastAsia="宋体" w:cs="宋体"/>
          <w:sz w:val="24"/>
          <w:szCs w:val="24"/>
        </w:rPr>
        <w:t>安全设计实现具有整体安全性，科学合理，能够切实降低系统被攻击风险；</w:t>
      </w:r>
    </w:p>
    <w:p w14:paraId="30DF386A">
      <w:pPr>
        <w:pStyle w:val="14"/>
        <w:numPr>
          <w:ilvl w:val="0"/>
          <w:numId w:val="1"/>
        </w:numPr>
        <w:ind w:left="0" w:leftChars="0" w:firstLine="420" w:firstLineChars="0"/>
        <w:jc w:val="left"/>
        <w:rPr>
          <w:rFonts w:hint="eastAsia" w:ascii="宋体" w:hAnsi="宋体" w:eastAsia="宋体" w:cs="宋体"/>
          <w:sz w:val="24"/>
          <w:szCs w:val="24"/>
        </w:rPr>
      </w:pPr>
      <w:r>
        <w:rPr>
          <w:rFonts w:hint="eastAsia" w:ascii="宋体" w:hAnsi="宋体" w:eastAsia="宋体" w:cs="宋体"/>
          <w:sz w:val="24"/>
          <w:szCs w:val="24"/>
        </w:rPr>
        <w:t>后期安全管理运维工作具有便捷性，能够解决医院在安全运维管理中，人力资源的有限性和软硬件设备，资源的复杂性之间的需求矛盾。</w:t>
      </w:r>
    </w:p>
    <w:p w14:paraId="65BB8EF0">
      <w:pPr>
        <w:outlineLvl w:val="2"/>
        <w:rPr>
          <w:rFonts w:hint="eastAsia" w:ascii="宋体" w:hAnsi="宋体" w:eastAsia="宋体" w:cs="宋体"/>
          <w:b/>
          <w:sz w:val="24"/>
          <w:szCs w:val="24"/>
        </w:rPr>
      </w:pPr>
      <w:r>
        <w:rPr>
          <w:rFonts w:hint="eastAsia" w:ascii="宋体" w:hAnsi="宋体" w:eastAsia="宋体" w:cs="宋体"/>
          <w:b/>
          <w:sz w:val="24"/>
          <w:szCs w:val="24"/>
        </w:rPr>
        <w:t>4.2功能性需求</w:t>
      </w:r>
    </w:p>
    <w:p w14:paraId="3B1FCC9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本方案将针对医院目前</w:t>
      </w:r>
      <w:r>
        <w:rPr>
          <w:rFonts w:hint="eastAsia" w:ascii="宋体" w:hAnsi="宋体" w:eastAsia="宋体" w:cs="宋体"/>
          <w:sz w:val="24"/>
          <w:szCs w:val="24"/>
          <w:lang w:eastAsia="zh-CN"/>
        </w:rPr>
        <w:t>存在</w:t>
      </w:r>
      <w:r>
        <w:rPr>
          <w:rFonts w:hint="eastAsia" w:ascii="宋体" w:hAnsi="宋体" w:eastAsia="宋体" w:cs="宋体"/>
          <w:sz w:val="24"/>
          <w:szCs w:val="24"/>
        </w:rPr>
        <w:t>的各个风险点做相应的规划设计，以逐步建立健全我院网络安全防护体系，安全项目建设至少要达到以下的功能性要求：</w:t>
      </w:r>
    </w:p>
    <w:p w14:paraId="74780E4F">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1、根据等保测评差评报告，对标建设，完成病历、HIS、LIS、PACS等核心业务系统等保第3级定级。</w:t>
      </w:r>
    </w:p>
    <w:p w14:paraId="1CC3B5CC">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
          <w:bCs/>
          <w:sz w:val="24"/>
          <w:szCs w:val="24"/>
          <w:lang w:val="en-US" w:eastAsia="zh-CN"/>
        </w:rPr>
        <w:t>建</w:t>
      </w:r>
      <w:r>
        <w:rPr>
          <w:rFonts w:hint="eastAsia" w:ascii="宋体" w:hAnsi="宋体" w:eastAsia="宋体" w:cs="宋体"/>
          <w:b/>
          <w:sz w:val="24"/>
          <w:szCs w:val="24"/>
        </w:rPr>
        <w:t>立零信任安全架构，实现“攻击进不来，文件拿不走，信息看不懂，数据丢不了，行为赖不掉”</w:t>
      </w:r>
      <w:r>
        <w:rPr>
          <w:rFonts w:hint="eastAsia" w:ascii="宋体" w:hAnsi="宋体" w:eastAsia="宋体" w:cs="宋体"/>
          <w:sz w:val="24"/>
          <w:szCs w:val="24"/>
        </w:rPr>
        <w:t>，实现业务系统供应链安全，形成较强风险应对能力的安全闭环体系；</w:t>
      </w:r>
    </w:p>
    <w:p w14:paraId="42F84570">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3、建立符合医院实际的应急响应机制，能迅速应对突发网络安全事件，建立健全信息</w:t>
      </w:r>
      <w:r>
        <w:rPr>
          <w:rFonts w:hint="eastAsia" w:ascii="宋体" w:hAnsi="宋体" w:eastAsia="宋体" w:cs="宋体"/>
          <w:b/>
          <w:sz w:val="24"/>
          <w:szCs w:val="24"/>
        </w:rPr>
        <w:t>安全管理制度</w:t>
      </w:r>
      <w:r>
        <w:rPr>
          <w:rFonts w:hint="eastAsia" w:ascii="宋体" w:hAnsi="宋体" w:eastAsia="宋体" w:cs="宋体"/>
          <w:sz w:val="24"/>
          <w:szCs w:val="24"/>
        </w:rPr>
        <w:t>；根据网络安全等级保护的要求，制定各项信息系统安全管理制度，对安全管理人员或操作人员执行的重要管理操作建立操作规程和执行记录文档。</w:t>
      </w:r>
    </w:p>
    <w:p w14:paraId="17CB5CD5">
      <w:pPr>
        <w:spacing w:line="440" w:lineRule="exact"/>
        <w:ind w:firstLine="480" w:firstLineChars="200"/>
        <w:rPr>
          <w:rFonts w:hint="eastAsia" w:ascii="宋体" w:hAnsi="宋体" w:eastAsia="宋体" w:cs="宋体"/>
          <w:sz w:val="24"/>
          <w:szCs w:val="24"/>
        </w:rPr>
      </w:pPr>
      <w:r>
        <w:rPr>
          <w:rFonts w:hint="eastAsia" w:ascii="宋体" w:hAnsi="宋体" w:eastAsia="宋体" w:cs="宋体"/>
          <w:b w:val="0"/>
          <w:bCs/>
          <w:sz w:val="24"/>
          <w:szCs w:val="24"/>
        </w:rPr>
        <w:t>4、</w:t>
      </w:r>
      <w:r>
        <w:rPr>
          <w:rFonts w:hint="eastAsia" w:ascii="宋体" w:hAnsi="宋体" w:eastAsia="宋体" w:cs="宋体"/>
          <w:b/>
          <w:sz w:val="24"/>
          <w:szCs w:val="24"/>
        </w:rPr>
        <w:t>建立以IP 为基础的统一的一体化网络管理平台，实现终端安全管理</w:t>
      </w:r>
    </w:p>
    <w:p w14:paraId="42D34EA1">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目前，医院桌面终端数量增加，约850台终端设备（含自助机等终端设备），计算机，自助机、网络终端等缺乏有效的安全管理及防护设备，内外网的终端、服务器等无有效的准入机制统一管理，手动资料的完整性，连贯性不佳。一旦爆发病毒（如勒索病毒）将很快传染扩散，一旦内网某台终端被黑客控制，很容易进行内网攻击。</w:t>
      </w:r>
    </w:p>
    <w:p w14:paraId="4DF38BF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过项目建设，全网终端实现统一的准入审核管理，统一分配IP，端口、服务等，根据医院管理要求，可出具网络资源相应报表记录，并有效记录终端，接入层，汇聚层，核心设备，服务器等重要配置信息变化，以及操作人员日志等，留痕，重要操作有记录，主动报警；</w:t>
      </w:r>
    </w:p>
    <w:p w14:paraId="0105C9F3">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实现桌面终端管理安全、网络终端安全、内部应用安全、互联网外部安全、信息数据等资源安全、人员操作及运维安全、自助机、大屏等接入设备安全、监控摄像安全以及弱电系统的统一安全管理安全；</w:t>
      </w:r>
    </w:p>
    <w:p w14:paraId="299046D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设计实现应整合数据、语音和图像等多种端到端业务场景，支持多协议、多业务、安全策略、流量管理、服务质量管理、资源管理。优化医院整体门诊楼、急诊楼、住院楼及行政楼的网络架构，构造高可靠、高稳定的无阻塞访问网络，网络设计不仅要体现当前网络多业务服务的发展趋势，同时需要具有最灵活的适应、扩展能力。</w:t>
      </w:r>
    </w:p>
    <w:p w14:paraId="7D1B507D">
      <w:pPr>
        <w:spacing w:line="44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5、实现内外网隔离</w:t>
      </w:r>
    </w:p>
    <w:p w14:paraId="04921FE1">
      <w:pPr>
        <w:spacing w:line="44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  通过边界隔离能力来实现内外网络进行安全数据通信，在保障用户信息系统安全性的同时，最大限度保证医院应用的方便性。</w:t>
      </w:r>
    </w:p>
    <w:p w14:paraId="6200318D">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在内网和外网核心交换机之间，通过软硬件等策略，实现内外网的安全隔离，实现对网络层/OS层已知和未知攻击的全面防护能力，保护可信网络免遭黑客攻击。</w:t>
      </w:r>
    </w:p>
    <w:p w14:paraId="3193A414">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b/>
          <w:sz w:val="24"/>
          <w:szCs w:val="24"/>
        </w:rPr>
        <w:t>实现外部攻击主动防御</w:t>
      </w:r>
    </w:p>
    <w:p w14:paraId="42B5745F">
      <w:pPr>
        <w:pStyle w:val="14"/>
        <w:spacing w:line="440" w:lineRule="exact"/>
        <w:rPr>
          <w:rFonts w:hint="eastAsia" w:ascii="宋体" w:hAnsi="宋体" w:eastAsia="宋体" w:cs="宋体"/>
          <w:sz w:val="24"/>
          <w:szCs w:val="24"/>
        </w:rPr>
      </w:pPr>
      <w:r>
        <w:rPr>
          <w:rFonts w:hint="eastAsia" w:ascii="宋体" w:hAnsi="宋体" w:eastAsia="宋体" w:cs="宋体"/>
          <w:sz w:val="24"/>
          <w:szCs w:val="24"/>
        </w:rPr>
        <w:t>有效防护外部网络攻击，对网络入侵行为的实现智能监控和防护，并及时</w:t>
      </w:r>
      <w:r>
        <w:rPr>
          <w:rFonts w:hint="eastAsia" w:ascii="宋体" w:hAnsi="宋体" w:eastAsia="宋体" w:cs="宋体"/>
          <w:sz w:val="24"/>
          <w:szCs w:val="24"/>
          <w:lang w:eastAsia="zh-CN"/>
        </w:rPr>
        <w:t>给予</w:t>
      </w:r>
      <w:r>
        <w:rPr>
          <w:rFonts w:hint="eastAsia" w:ascii="宋体" w:hAnsi="宋体" w:eastAsia="宋体" w:cs="宋体"/>
          <w:sz w:val="24"/>
          <w:szCs w:val="24"/>
        </w:rPr>
        <w:t>主动提醒和警报，如手机短信，微信等消息提示；通过边界防护能力来实现网络攻击的识别与阻断，确保医院内部网络具备网络攻击防护能力。</w:t>
      </w:r>
    </w:p>
    <w:p w14:paraId="5628D129">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对网站入侵行为的监控和防护问题，通过网站安全监控服务实现对安全监测、安全防护能力，打造可靠、安全、高效的在线服务网站，提升网站公信力。</w:t>
      </w:r>
    </w:p>
    <w:p w14:paraId="2BD794E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b/>
          <w:sz w:val="24"/>
          <w:szCs w:val="24"/>
        </w:rPr>
        <w:t>实现内部应用及终端主动防护和检测功能</w:t>
      </w:r>
    </w:p>
    <w:p w14:paraId="40D4F984">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实现院内所有终端的安全防护和检测，包括网络终端、桌面终端、自助设备、大屏、监控设备等；</w:t>
      </w:r>
    </w:p>
    <w:p w14:paraId="28B7461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通过终端安全与管理能力来实现终端设备的安全管理能力，业务终端提供体系化安全防护能力，持续开展基于数字化指标的安全运营。</w:t>
      </w:r>
    </w:p>
    <w:p w14:paraId="5D649A34">
      <w:pPr>
        <w:spacing w:line="44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8、</w:t>
      </w:r>
      <w:r>
        <w:rPr>
          <w:rFonts w:hint="eastAsia" w:ascii="宋体" w:hAnsi="宋体" w:eastAsia="宋体" w:cs="宋体"/>
          <w:b/>
          <w:sz w:val="24"/>
          <w:szCs w:val="24"/>
        </w:rPr>
        <w:t>实现网络流量监控和审计</w:t>
      </w:r>
    </w:p>
    <w:p w14:paraId="262D3FFF">
      <w:pPr>
        <w:pStyle w:val="14"/>
        <w:spacing w:line="440" w:lineRule="exact"/>
        <w:rPr>
          <w:rFonts w:hint="eastAsia" w:ascii="宋体" w:hAnsi="宋体" w:eastAsia="宋体" w:cs="宋体"/>
          <w:b/>
          <w:sz w:val="24"/>
          <w:szCs w:val="24"/>
        </w:rPr>
      </w:pPr>
      <w:r>
        <w:rPr>
          <w:rFonts w:hint="eastAsia" w:ascii="宋体" w:hAnsi="宋体" w:eastAsia="宋体" w:cs="宋体"/>
          <w:sz w:val="24"/>
          <w:szCs w:val="24"/>
        </w:rPr>
        <w:t>严格控制互联网进出口数据，实现医疗数据的安全管理，确保医疗数据不泄露，不被非法篡改，以“最小网络运行”；</w:t>
      </w:r>
    </w:p>
    <w:p w14:paraId="6FA759C3">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b/>
          <w:sz w:val="24"/>
          <w:szCs w:val="24"/>
        </w:rPr>
        <w:t>实现有效的数据恢复能力和备份机制，能够快速恢复重要数据，保证数据安全性</w:t>
      </w:r>
    </w:p>
    <w:p w14:paraId="7824779B">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安全防护需要跟数据保护紧密相结合，有完整的防护体系还需要有完整的备份机制来支撑，守护医院数据安全最后一道防线。</w:t>
      </w:r>
    </w:p>
    <w:p w14:paraId="18471600">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通过数据备份实现重要数据的备份，保证在发生勒索病毒加密、数据丢失、数据库误操作等数据损毁情况下，能够快速恢复重要数据，保证数据安全性。</w:t>
      </w:r>
    </w:p>
    <w:p w14:paraId="220E5DAC">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应根据三级等保要求，建立相应的数据备份机制，对系统普通数据、核心数据、关键核心数据等分类管理，并提供院内异地数据备份功能。</w:t>
      </w:r>
    </w:p>
    <w:p w14:paraId="1DBF4370">
      <w:pPr>
        <w:spacing w:line="44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10、</w:t>
      </w:r>
      <w:r>
        <w:rPr>
          <w:rFonts w:hint="eastAsia" w:ascii="宋体" w:hAnsi="宋体" w:eastAsia="宋体" w:cs="宋体"/>
          <w:b/>
          <w:sz w:val="24"/>
          <w:szCs w:val="24"/>
        </w:rPr>
        <w:t>实现全网设备的可视化管理</w:t>
      </w:r>
    </w:p>
    <w:p w14:paraId="0E78405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实现信息网、监控网、门禁网等医院存在的网络设备的统一规划与管理，实现可视化网络管理，能实时监控并查看全院网络现状，在网络出现回路，断网，停机，报警，拥塞等情况时，可</w:t>
      </w:r>
      <w:r>
        <w:rPr>
          <w:rFonts w:hint="eastAsia" w:ascii="宋体" w:hAnsi="宋体" w:eastAsia="宋体" w:cs="宋体"/>
          <w:sz w:val="24"/>
          <w:szCs w:val="24"/>
          <w:lang w:eastAsia="zh-CN"/>
        </w:rPr>
        <w:t>给予</w:t>
      </w:r>
      <w:r>
        <w:rPr>
          <w:rFonts w:hint="eastAsia" w:ascii="宋体" w:hAnsi="宋体" w:eastAsia="宋体" w:cs="宋体"/>
          <w:sz w:val="24"/>
          <w:szCs w:val="24"/>
        </w:rPr>
        <w:t>及时的提醒和界面指示，并配置相应资产情况，以及权限管理；</w:t>
      </w:r>
    </w:p>
    <w:p w14:paraId="5168326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b/>
          <w:sz w:val="24"/>
          <w:szCs w:val="24"/>
        </w:rPr>
        <w:t>规范使用人员上网行为，实现上网行为的审计、检测及预警</w:t>
      </w:r>
    </w:p>
    <w:p w14:paraId="551CD699">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通过上网行为管控能力来实现对终端用户的互联网访问行为监控和阻断。</w:t>
      </w:r>
    </w:p>
    <w:p w14:paraId="43710C89">
      <w:pPr>
        <w:spacing w:line="44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12、</w:t>
      </w:r>
      <w:r>
        <w:rPr>
          <w:rFonts w:hint="eastAsia" w:ascii="宋体" w:hAnsi="宋体" w:eastAsia="宋体" w:cs="宋体"/>
          <w:b/>
          <w:sz w:val="24"/>
          <w:szCs w:val="24"/>
        </w:rPr>
        <w:t>实现对院内网络环境的态势感知能力，以及对攻击进行关联分析和溯源，保留非法侵入日志，异常操作等痕迹；</w:t>
      </w:r>
    </w:p>
    <w:p w14:paraId="4B73857D">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通过态势感知能力来实现外部攻击威胁的监测、预警及处置，使安全防护和管理工作规范化流程化进行，最终通过大屏展示将网络安全态势呈现给医院。 </w:t>
      </w:r>
    </w:p>
    <w:p w14:paraId="487A821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在本院中心机房部署一套态势感知平台，并在本地重要网络节点部署潜伏威胁探针，以合规性安全要求为支撑，面向等级保护、安全管理制度和安全应急体系等建设任务，聚焦网络安全能力提升，整合组织人员、协同机制、管理制度、事件处置流程、工作流程、安全服务等方面，向组织提供统一安全能力、安全运营管理效率及安全运维效果的提升，在态势感知平台的统筹下实现联合同步防御，打通威胁感知、运维保障、监测预警、应急响应等各环节，实现各安全组件共享威胁情报和知识库，协同执行防御任务，大幅度提升整体网络协同防御能力。</w:t>
      </w:r>
    </w:p>
    <w:p w14:paraId="36FA46AB">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态势感知平台聚焦在打造四维安全闭环能力特点的安全运营中心，即安全监测与感知、深度分析与展示、智能决策与评估、协同响应与处置的安全运营中心，辅助院内信息科发现问题、分析问题、评估问题、处理问题。</w:t>
      </w:r>
    </w:p>
    <w:p w14:paraId="1D050306">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b/>
          <w:sz w:val="24"/>
          <w:szCs w:val="24"/>
        </w:rPr>
        <w:t>实现全院供应链安全</w:t>
      </w:r>
    </w:p>
    <w:p w14:paraId="62F57830">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实现软件供应链安全，在设计实现中各项安全能力所包含的设备、工具、软件等辅助手段，均使用国产化产品，并保证产品在投入使用前经过严格的安全测试，投入使用时不存在安全漏洞，不会造成新的网络安全风险点。 </w:t>
      </w:r>
    </w:p>
    <w:p w14:paraId="3E36EB77">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b/>
          <w:sz w:val="24"/>
          <w:szCs w:val="24"/>
        </w:rPr>
        <w:t>实现全网的安全运营管理</w:t>
      </w:r>
    </w:p>
    <w:p w14:paraId="5FD18882">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通过安全运营服务，依托现有的安全设备和本方案包含的安全能力，开展各项网络安全防护工作，全面保障医院网络环境的安全。</w:t>
      </w:r>
    </w:p>
    <w:p w14:paraId="27B165D3">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实现第三方运维管理、账户权限、密码管理、介质管理、恶意代码防范管理、数据备份管理等日常安全运维和管理。实现资产台账信息，增加服务器、终端、网络和安全设备等信息等多种安全管理要求。</w:t>
      </w:r>
    </w:p>
    <w:p w14:paraId="76698654">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实现对科室人员防火墙、防病毒、防攻击、安全运维等网络安全专业技能培训，提高网络安全、终端安全使用相关的知识与技能。</w:t>
      </w:r>
    </w:p>
    <w:p w14:paraId="12A44636">
      <w:pPr>
        <w:numPr>
          <w:ilvl w:val="0"/>
          <w:numId w:val="2"/>
        </w:numPr>
        <w:spacing w:line="440" w:lineRule="exact"/>
        <w:jc w:val="left"/>
        <w:rPr>
          <w:rFonts w:hint="eastAsia" w:ascii="宋体" w:hAnsi="宋体" w:eastAsia="宋体" w:cs="宋体"/>
          <w:sz w:val="24"/>
          <w:szCs w:val="24"/>
        </w:rPr>
      </w:pPr>
      <w:r>
        <w:rPr>
          <w:rFonts w:hint="eastAsia" w:ascii="宋体" w:hAnsi="宋体" w:eastAsia="宋体" w:cs="宋体"/>
          <w:sz w:val="24"/>
          <w:szCs w:val="24"/>
        </w:rPr>
        <w:t>实现关键设备冗余、链路/网络冗余和重要业务模块冗余</w:t>
      </w:r>
    </w:p>
    <w:p w14:paraId="5976361E">
      <w:pPr>
        <w:numPr>
          <w:ilvl w:val="0"/>
          <w:numId w:val="0"/>
        </w:numPr>
        <w:spacing w:line="44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关键设备冗余，包括支持单板热拔插、冗余控制模块、冗余电源。冗余网络设计，包括双机热备，链路冗余、链路聚合。为医院网络提供多种冗余技术，以及高效、负载均衡的备份机制。</w:t>
      </w:r>
    </w:p>
    <w:p w14:paraId="5441A425">
      <w:pPr>
        <w:spacing w:line="440" w:lineRule="exact"/>
        <w:ind w:firstLine="200"/>
        <w:rPr>
          <w:rFonts w:hint="eastAsia" w:ascii="宋体" w:hAnsi="宋体" w:eastAsia="宋体" w:cs="宋体"/>
          <w:b/>
          <w:sz w:val="24"/>
          <w:szCs w:val="24"/>
        </w:rPr>
      </w:pPr>
      <w:r>
        <w:rPr>
          <w:rFonts w:hint="eastAsia" w:ascii="宋体" w:hAnsi="宋体" w:eastAsia="宋体" w:cs="宋体"/>
          <w:b/>
          <w:sz w:val="24"/>
          <w:szCs w:val="24"/>
        </w:rPr>
        <w:t>16、实现网络安全域划分</w:t>
      </w:r>
    </w:p>
    <w:p w14:paraId="6AA7BE43">
      <w:pPr>
        <w:spacing w:line="44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根据医院实际网络情况和安全需要，结合分等级保护的思想，将医院整体网络分为内网与外网，内网划分为数据中心区域、安全运维区域、容灾区域、内网核心交换区域、内网终端业务区域；外网划分为互联网出口区域、DMZ区域、外网终端业</w:t>
      </w:r>
      <w:r>
        <w:rPr>
          <w:rFonts w:hint="eastAsia" w:ascii="宋体" w:hAnsi="宋体" w:eastAsia="宋体" w:cs="宋体"/>
          <w:bCs/>
          <w:sz w:val="24"/>
          <w:szCs w:val="24"/>
          <w:lang w:eastAsia="zh-CN"/>
        </w:rPr>
        <w:t>务区</w:t>
      </w:r>
      <w:r>
        <w:rPr>
          <w:rFonts w:hint="eastAsia" w:ascii="宋体" w:hAnsi="宋体" w:eastAsia="宋体" w:cs="宋体"/>
          <w:bCs/>
          <w:sz w:val="24"/>
          <w:szCs w:val="24"/>
        </w:rPr>
        <w:t>域、外联区域。</w:t>
      </w:r>
    </w:p>
    <w:p w14:paraId="3962F2C5">
      <w:pPr>
        <w:spacing w:line="44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并根据不同区域的安全性要求给出具体的设计方案及图示说明。</w:t>
      </w:r>
    </w:p>
    <w:p w14:paraId="70CBADCB">
      <w:pPr>
        <w:spacing w:line="44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
          <w:sz w:val="24"/>
          <w:szCs w:val="24"/>
        </w:rPr>
        <w:t>互联网出口域：</w:t>
      </w:r>
      <w:r>
        <w:rPr>
          <w:rFonts w:hint="eastAsia" w:ascii="宋体" w:hAnsi="宋体" w:eastAsia="宋体" w:cs="宋体"/>
          <w:sz w:val="24"/>
          <w:szCs w:val="24"/>
        </w:rPr>
        <w:t>需在互联网出口边界进行隔离和访问控制，保护内部网络，从2-7层对攻击进行防护，实现对入侵事件的监控、阻断，保护整体网络各个安全域免受外网常见恶意攻击，利用网络防病毒，主动扫描web和电子邮件流量、阻止恶意软件到达并感染网络上主机等防护功能；需对互联网出口流量进行识别并对流量进行管控，提高带宽利用率的同时保障用户上网体验，并按相关法律法规进行上网行为审计。</w:t>
      </w:r>
    </w:p>
    <w:p w14:paraId="6A7BAA8B">
      <w:pPr>
        <w:spacing w:line="440" w:lineRule="exact"/>
        <w:ind w:firstLine="482" w:firstLineChars="200"/>
        <w:rPr>
          <w:rFonts w:hint="eastAsia" w:ascii="宋体" w:hAnsi="宋体" w:eastAsia="宋体" w:cs="宋体"/>
          <w:bCs/>
          <w:sz w:val="24"/>
          <w:szCs w:val="24"/>
        </w:rPr>
      </w:pPr>
      <w:r>
        <w:rPr>
          <w:rFonts w:hint="eastAsia" w:ascii="宋体" w:hAnsi="宋体" w:eastAsia="宋体" w:cs="宋体"/>
          <w:b/>
          <w:sz w:val="24"/>
          <w:szCs w:val="24"/>
        </w:rPr>
        <w:t>外联区域：</w:t>
      </w:r>
      <w:r>
        <w:rPr>
          <w:rFonts w:hint="eastAsia" w:ascii="宋体" w:hAnsi="宋体" w:eastAsia="宋体" w:cs="宋体"/>
          <w:sz w:val="24"/>
          <w:szCs w:val="24"/>
        </w:rPr>
        <w:t>与对端政务网/内网安全平台数据对接，需识别内网之间流量中的威胁，实现对流量中入侵行为的检测与阻断。</w:t>
      </w:r>
    </w:p>
    <w:p w14:paraId="0EF8A880">
      <w:pPr>
        <w:spacing w:line="440" w:lineRule="exact"/>
        <w:ind w:firstLine="482" w:firstLineChars="200"/>
        <w:rPr>
          <w:rFonts w:hint="eastAsia" w:ascii="宋体" w:hAnsi="宋体" w:eastAsia="宋体" w:cs="宋体"/>
          <w:bCs/>
          <w:sz w:val="24"/>
          <w:szCs w:val="24"/>
        </w:rPr>
      </w:pPr>
      <w:r>
        <w:rPr>
          <w:rFonts w:hint="eastAsia" w:ascii="宋体" w:hAnsi="宋体" w:eastAsia="宋体" w:cs="宋体"/>
          <w:b/>
          <w:sz w:val="24"/>
          <w:szCs w:val="24"/>
        </w:rPr>
        <w:t>内外网终端业务域：</w:t>
      </w:r>
      <w:r>
        <w:rPr>
          <w:rFonts w:hint="eastAsia" w:ascii="宋体" w:hAnsi="宋体" w:eastAsia="宋体" w:cs="宋体"/>
          <w:sz w:val="24"/>
          <w:szCs w:val="24"/>
        </w:rPr>
        <w:t>安全域内的终端上需具备防恶意代码的能力；需满足健康一体机、移动家庭医生签约等移动办公需求，实现安全可靠的网络接入。</w:t>
      </w:r>
    </w:p>
    <w:p w14:paraId="3BC2388C">
      <w:pPr>
        <w:spacing w:line="440" w:lineRule="exact"/>
        <w:ind w:firstLine="482" w:firstLineChars="200"/>
        <w:rPr>
          <w:rFonts w:hint="eastAsia" w:ascii="宋体" w:hAnsi="宋体" w:eastAsia="宋体" w:cs="宋体"/>
          <w:bCs/>
          <w:sz w:val="24"/>
          <w:szCs w:val="24"/>
        </w:rPr>
      </w:pPr>
      <w:r>
        <w:rPr>
          <w:rFonts w:hint="eastAsia" w:ascii="宋体" w:hAnsi="宋体" w:eastAsia="宋体" w:cs="宋体"/>
          <w:b/>
          <w:sz w:val="24"/>
          <w:szCs w:val="24"/>
        </w:rPr>
        <w:t>DMZ区域：</w:t>
      </w:r>
      <w:r>
        <w:rPr>
          <w:rFonts w:hint="eastAsia" w:ascii="宋体" w:hAnsi="宋体" w:eastAsia="宋体" w:cs="宋体"/>
          <w:sz w:val="24"/>
          <w:szCs w:val="24"/>
        </w:rPr>
        <w:t>该安全域内主要承载对外提供服务的服务器等，包括门户网站前端服务器、预约挂号系统等，外网接入用户需满足身份验证、数据加密传输的要求。需在DMZ区域边界设置访问控制策略，并具备应用层攻击检测与防护能力。</w:t>
      </w:r>
    </w:p>
    <w:p w14:paraId="071DBAA8">
      <w:pPr>
        <w:spacing w:line="44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数据中心区域：</w:t>
      </w:r>
      <w:r>
        <w:rPr>
          <w:rFonts w:hint="eastAsia" w:ascii="宋体" w:hAnsi="宋体" w:eastAsia="宋体" w:cs="宋体"/>
          <w:sz w:val="24"/>
          <w:szCs w:val="24"/>
        </w:rPr>
        <w:t>该安全域主要承载内网核心业务信息系统，需对这些业务信息系统提供2-7层安全威胁识别及阻断攻击行为的能力，如网页防篡改、SQL注入、XSS（跨站脚本攻击）、CSRF（跨站请求伪造攻击）、cookie篡改等。</w:t>
      </w:r>
    </w:p>
    <w:p w14:paraId="7B14D99A">
      <w:pPr>
        <w:spacing w:line="440" w:lineRule="exact"/>
        <w:ind w:firstLine="482" w:firstLineChars="200"/>
        <w:rPr>
          <w:rFonts w:ascii="宋体" w:hAnsi="宋体"/>
          <w:sz w:val="24"/>
          <w:szCs w:val="24"/>
        </w:rPr>
      </w:pPr>
      <w:r>
        <w:rPr>
          <w:rFonts w:hint="eastAsia" w:ascii="宋体" w:hAnsi="宋体" w:eastAsia="宋体" w:cs="宋体"/>
          <w:b/>
          <w:sz w:val="24"/>
          <w:szCs w:val="24"/>
        </w:rPr>
        <w:t>安全运维区域：</w:t>
      </w:r>
      <w:r>
        <w:rPr>
          <w:rFonts w:hint="eastAsia" w:ascii="宋体" w:hAnsi="宋体" w:eastAsia="宋体" w:cs="宋体"/>
          <w:sz w:val="24"/>
          <w:szCs w:val="24"/>
        </w:rPr>
        <w:t>统一部署日志审计系统，堡垒主机，漏洞扫描系统，终端准入系统、数据备份等安全防护措施。同时部署态势感知，通过大数据分析，发现未知威胁及可视化展示。</w:t>
      </w:r>
      <w:r>
        <w:rPr>
          <w:rFonts w:hint="eastAsia" w:ascii="宋体" w:hAnsi="宋体" w:eastAsia="宋体" w:cs="宋体"/>
          <w:bCs/>
          <w:sz w:val="24"/>
          <w:szCs w:val="24"/>
        </w:rPr>
        <w:t>）</w:t>
      </w:r>
    </w:p>
    <w:p w14:paraId="1BBDD7BC">
      <w:pPr>
        <w:pStyle w:val="14"/>
        <w:spacing w:line="440" w:lineRule="exact"/>
        <w:ind w:firstLine="200" w:firstLineChars="0"/>
        <w:rPr>
          <w:rFonts w:hint="eastAsia" w:ascii="宋体" w:hAnsi="宋体" w:eastAsia="宋体" w:cs="宋体"/>
          <w:b/>
          <w:sz w:val="24"/>
          <w:szCs w:val="24"/>
          <w:lang w:eastAsia="zh-CN"/>
        </w:rPr>
      </w:pPr>
      <w:r>
        <w:rPr>
          <w:rFonts w:hint="eastAsia" w:ascii="宋体" w:hAnsi="宋体" w:eastAsia="宋体" w:cs="宋体"/>
          <w:sz w:val="24"/>
          <w:szCs w:val="24"/>
        </w:rPr>
        <w:t>17、</w:t>
      </w:r>
      <w:r>
        <w:rPr>
          <w:rFonts w:hint="eastAsia" w:ascii="宋体" w:hAnsi="宋体" w:eastAsia="宋体" w:cs="宋体"/>
          <w:b/>
          <w:sz w:val="24"/>
          <w:szCs w:val="24"/>
        </w:rPr>
        <w:t>满足电子病历五级评审中，对于安全建设的要求</w:t>
      </w:r>
      <w:r>
        <w:rPr>
          <w:rFonts w:hint="eastAsia" w:ascii="宋体" w:hAnsi="宋体" w:eastAsia="宋体" w:cs="宋体"/>
          <w:b/>
          <w:sz w:val="24"/>
          <w:szCs w:val="24"/>
          <w:lang w:eastAsia="zh-CN"/>
        </w:rPr>
        <w:t>。</w:t>
      </w:r>
    </w:p>
    <w:p w14:paraId="0937BDD1">
      <w:pPr>
        <w:pStyle w:val="14"/>
        <w:spacing w:line="440" w:lineRule="exact"/>
        <w:ind w:firstLine="200" w:firstLineChars="0"/>
        <w:rPr>
          <w:rFonts w:hint="eastAsia" w:ascii="宋体" w:hAnsi="宋体" w:eastAsia="宋体" w:cs="宋体"/>
          <w:b/>
          <w:sz w:val="24"/>
          <w:szCs w:val="24"/>
          <w:lang w:eastAsia="zh-CN"/>
        </w:rPr>
      </w:pPr>
      <w:r>
        <w:rPr>
          <w:rFonts w:hint="eastAsia" w:ascii="宋体" w:hAnsi="宋体" w:eastAsia="宋体" w:cs="宋体"/>
          <w:sz w:val="24"/>
          <w:szCs w:val="24"/>
        </w:rPr>
        <w:t>18、</w:t>
      </w:r>
      <w:r>
        <w:rPr>
          <w:rFonts w:hint="eastAsia" w:ascii="宋体" w:hAnsi="宋体" w:eastAsia="宋体" w:cs="宋体"/>
          <w:b/>
          <w:sz w:val="24"/>
          <w:szCs w:val="24"/>
        </w:rPr>
        <w:t>满足互联互通四级甲等评测中，对于安全建设的要求</w:t>
      </w:r>
      <w:r>
        <w:rPr>
          <w:rFonts w:hint="eastAsia" w:ascii="宋体" w:hAnsi="宋体" w:eastAsia="宋体" w:cs="宋体"/>
          <w:b/>
          <w:sz w:val="24"/>
          <w:szCs w:val="24"/>
          <w:lang w:eastAsia="zh-CN"/>
        </w:rPr>
        <w:t>。</w:t>
      </w:r>
    </w:p>
    <w:p w14:paraId="4F0F7889">
      <w:pPr>
        <w:pStyle w:val="14"/>
        <w:spacing w:line="440" w:lineRule="exact"/>
        <w:ind w:firstLine="200" w:firstLineChars="0"/>
        <w:rPr>
          <w:rFonts w:hint="eastAsia" w:ascii="宋体" w:hAnsi="宋体" w:eastAsia="宋体" w:cs="宋体"/>
          <w:b/>
          <w:sz w:val="24"/>
          <w:szCs w:val="24"/>
          <w:lang w:eastAsia="zh-CN"/>
        </w:rPr>
      </w:pPr>
    </w:p>
    <w:p w14:paraId="1B98C2ED">
      <w:pPr>
        <w:outlineLvl w:val="1"/>
        <w:rPr>
          <w:b/>
          <w:sz w:val="24"/>
          <w:szCs w:val="24"/>
        </w:rPr>
      </w:pPr>
      <w:r>
        <w:rPr>
          <w:rFonts w:hint="eastAsia"/>
          <w:b/>
          <w:sz w:val="24"/>
          <w:szCs w:val="24"/>
        </w:rPr>
        <w:t>五、网路拓扑图（初步计划，</w:t>
      </w:r>
      <w:r>
        <w:rPr>
          <w:rFonts w:hint="eastAsia"/>
          <w:b/>
          <w:sz w:val="24"/>
          <w:szCs w:val="24"/>
          <w:lang w:val="en-US" w:eastAsia="zh-CN"/>
        </w:rPr>
        <w:t>可根据医院实际网络架构</w:t>
      </w:r>
      <w:r>
        <w:rPr>
          <w:rFonts w:hint="eastAsia"/>
          <w:b/>
          <w:sz w:val="24"/>
          <w:szCs w:val="24"/>
        </w:rPr>
        <w:t>调整）</w:t>
      </w:r>
    </w:p>
    <w:p w14:paraId="77C4447A">
      <w:r>
        <w:drawing>
          <wp:inline distT="0" distB="0" distL="0" distR="0">
            <wp:extent cx="5274310" cy="381952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819525"/>
                    </a:xfrm>
                    <a:prstGeom prst="rect">
                      <a:avLst/>
                    </a:prstGeom>
                  </pic:spPr>
                </pic:pic>
              </a:graphicData>
            </a:graphic>
          </wp:inline>
        </w:drawing>
      </w:r>
    </w:p>
    <w:p w14:paraId="2B2B8308"/>
    <w:p w14:paraId="494840C2">
      <w:r>
        <w:drawing>
          <wp:inline distT="0" distB="0" distL="0" distR="0">
            <wp:extent cx="5274310" cy="399097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990975"/>
                    </a:xfrm>
                    <a:prstGeom prst="rect">
                      <a:avLst/>
                    </a:prstGeom>
                  </pic:spPr>
                </pic:pic>
              </a:graphicData>
            </a:graphic>
          </wp:inline>
        </w:drawing>
      </w:r>
    </w:p>
    <w:p w14:paraId="623637DD">
      <w:pPr>
        <w:rPr>
          <w:sz w:val="24"/>
          <w:szCs w:val="24"/>
        </w:rPr>
      </w:pPr>
    </w:p>
    <w:p w14:paraId="54FD5DA1">
      <w:pPr>
        <w:kinsoku/>
        <w:wordWrap/>
        <w:overflowPunct/>
        <w:topLinePunct w:val="0"/>
        <w:bidi w:val="0"/>
        <w:adjustRightInd w:val="0"/>
        <w:snapToGrid w:val="0"/>
        <w:spacing w:line="360" w:lineRule="auto"/>
        <w:ind w:left="0" w:leftChars="0" w:right="0" w:firstLine="422"/>
        <w:outlineLvl w:val="2"/>
        <w:rPr>
          <w:rFonts w:ascii="Times New Roman" w:hAnsi="Times New Roman"/>
          <w:b/>
          <w:color w:val="auto"/>
          <w:sz w:val="24"/>
          <w:szCs w:val="24"/>
          <w:highlight w:val="none"/>
        </w:rPr>
      </w:pPr>
      <w:r>
        <w:rPr>
          <w:rFonts w:hint="eastAsia" w:ascii="Times New Roman" w:hAnsi="Times New Roman"/>
          <w:b/>
          <w:color w:val="auto"/>
          <w:sz w:val="24"/>
          <w:szCs w:val="24"/>
          <w:highlight w:val="none"/>
          <w:lang w:val="en-US" w:eastAsia="zh-CN"/>
        </w:rPr>
        <w:t>六、</w:t>
      </w:r>
      <w:r>
        <w:rPr>
          <w:rFonts w:ascii="Times New Roman" w:hAnsi="Times New Roman"/>
          <w:b/>
          <w:color w:val="auto"/>
          <w:sz w:val="24"/>
          <w:szCs w:val="24"/>
          <w:highlight w:val="none"/>
        </w:rPr>
        <w:t>内容及技术要求</w:t>
      </w:r>
    </w:p>
    <w:p w14:paraId="5D6E1924">
      <w:pPr>
        <w:pStyle w:val="7"/>
        <w:adjustRightInd w:val="0"/>
        <w:spacing w:line="360" w:lineRule="auto"/>
        <w:ind w:firstLine="482" w:firstLineChars="200"/>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sz w:val="24"/>
          <w:szCs w:val="24"/>
          <w:highlight w:val="none"/>
          <w:lang w:val="en-US" w:eastAsia="zh-CN"/>
        </w:rPr>
        <w:t>1.</w:t>
      </w:r>
      <w:r>
        <w:rPr>
          <w:rFonts w:hint="eastAsia" w:ascii="宋体" w:hAnsi="宋体" w:eastAsia="宋体" w:cs="宋体"/>
          <w:b/>
          <w:bCs/>
          <w:sz w:val="24"/>
          <w:szCs w:val="24"/>
          <w:highlight w:val="none"/>
        </w:rPr>
        <w:t>专业基础设施服务</w:t>
      </w:r>
    </w:p>
    <w:p w14:paraId="6ABA8935">
      <w:pPr>
        <w:adjustRightInd w:val="0"/>
        <w:snapToGrid w:val="0"/>
        <w:spacing w:line="360" w:lineRule="auto"/>
        <w:ind w:firstLine="504" w:firstLineChars="200"/>
        <w:rPr>
          <w:rFonts w:hint="eastAsia" w:ascii="宋体" w:hAnsi="宋体" w:eastAsia="宋体" w:cs="宋体"/>
          <w:w w:val="105"/>
          <w:kern w:val="2"/>
          <w:sz w:val="24"/>
          <w:szCs w:val="24"/>
          <w:highlight w:val="none"/>
          <w:lang w:val="en-US" w:eastAsia="zh-CN" w:bidi="ar-SA"/>
        </w:rPr>
      </w:pPr>
      <w:r>
        <w:rPr>
          <w:rFonts w:hint="eastAsia" w:ascii="宋体" w:hAnsi="宋体" w:eastAsia="宋体" w:cs="宋体"/>
          <w:w w:val="105"/>
          <w:kern w:val="0"/>
          <w:sz w:val="24"/>
          <w:szCs w:val="24"/>
          <w:highlight w:val="none"/>
          <w:lang w:val="en-US" w:eastAsia="zh-CN" w:bidi="ar-SA"/>
        </w:rPr>
        <w:t>基础设施服务，安全设施租赁服务包含（但不限于）：</w:t>
      </w:r>
      <w:r>
        <w:rPr>
          <w:rFonts w:hint="eastAsia" w:ascii="宋体" w:hAnsi="宋体" w:cs="宋体"/>
          <w:color w:val="000000"/>
          <w:kern w:val="0"/>
          <w:szCs w:val="21"/>
          <w:lang w:bidi="ar"/>
        </w:rPr>
        <w:t>外网出口防火墙</w:t>
      </w:r>
      <w:r>
        <w:rPr>
          <w:rFonts w:hint="eastAsia" w:ascii="宋体" w:hAnsi="宋体" w:cs="宋体"/>
          <w:color w:val="000000"/>
          <w:kern w:val="0"/>
          <w:szCs w:val="21"/>
          <w:lang w:val="en-US" w:eastAsia="zh-CN" w:bidi="ar"/>
        </w:rPr>
        <w:t>2台，</w:t>
      </w:r>
      <w:r>
        <w:rPr>
          <w:rFonts w:hint="eastAsia" w:ascii="宋体" w:hAnsi="宋体" w:cs="宋体"/>
          <w:color w:val="000000"/>
          <w:kern w:val="0"/>
          <w:szCs w:val="21"/>
          <w:lang w:bidi="ar"/>
        </w:rPr>
        <w:t>内网防火墙</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内网数据中心WAF</w:t>
      </w:r>
      <w:r>
        <w:rPr>
          <w:rFonts w:hint="eastAsia" w:ascii="宋体" w:hAnsi="宋体" w:cs="宋体"/>
          <w:color w:val="000000"/>
          <w:kern w:val="0"/>
          <w:szCs w:val="21"/>
          <w:lang w:val="en-US" w:eastAsia="zh-CN" w:bidi="ar"/>
        </w:rPr>
        <w:t xml:space="preserve"> 2台，</w:t>
      </w:r>
      <w:r>
        <w:rPr>
          <w:rFonts w:hint="eastAsia" w:ascii="宋体" w:hAnsi="宋体" w:cs="宋体"/>
          <w:color w:val="000000"/>
          <w:kern w:val="0"/>
          <w:szCs w:val="21"/>
          <w:lang w:bidi="ar"/>
        </w:rPr>
        <w:t>外网上网行为管理</w:t>
      </w:r>
      <w:r>
        <w:rPr>
          <w:rFonts w:hint="eastAsia" w:ascii="宋体" w:hAnsi="宋体" w:cs="宋体"/>
          <w:color w:val="000000"/>
          <w:kern w:val="0"/>
          <w:szCs w:val="21"/>
          <w:lang w:val="en-US" w:eastAsia="zh-CN" w:bidi="ar"/>
        </w:rPr>
        <w:t>2台，</w:t>
      </w:r>
      <w:r>
        <w:rPr>
          <w:rFonts w:hint="eastAsia" w:ascii="宋体" w:hAnsi="宋体" w:cs="宋体"/>
          <w:color w:val="000000"/>
          <w:kern w:val="0"/>
          <w:szCs w:val="21"/>
          <w:lang w:bidi="ar"/>
        </w:rPr>
        <w:t>内网上网行为管理</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零信任安全访问系统</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数据库审计</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日志审计</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堡垒机</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网闸</w:t>
      </w:r>
      <w:r>
        <w:rPr>
          <w:rFonts w:hint="eastAsia" w:ascii="宋体" w:hAnsi="宋体" w:cs="宋体"/>
          <w:color w:val="000000"/>
          <w:kern w:val="0"/>
          <w:szCs w:val="21"/>
          <w:lang w:val="en-US" w:eastAsia="zh-CN" w:bidi="ar"/>
        </w:rPr>
        <w:t>2台，</w:t>
      </w:r>
      <w:r>
        <w:rPr>
          <w:rFonts w:hint="eastAsia" w:ascii="宋体" w:hAnsi="宋体" w:cs="宋体"/>
          <w:color w:val="000000"/>
          <w:kern w:val="0"/>
          <w:szCs w:val="21"/>
          <w:lang w:bidi="ar"/>
        </w:rPr>
        <w:t>物联网与网络安全监测响应平台</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流量采集探针</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终端安全管理平台</w:t>
      </w:r>
      <w:r>
        <w:rPr>
          <w:rFonts w:hint="eastAsia" w:ascii="宋体" w:hAnsi="宋体" w:cs="宋体"/>
          <w:color w:val="000000"/>
          <w:kern w:val="0"/>
          <w:szCs w:val="21"/>
          <w:lang w:val="en-US" w:eastAsia="zh-CN" w:bidi="ar"/>
        </w:rPr>
        <w:t>1套，</w:t>
      </w:r>
      <w:r>
        <w:rPr>
          <w:rFonts w:hint="eastAsia" w:ascii="宋体" w:hAnsi="宋体" w:cs="宋体"/>
          <w:color w:val="000000"/>
          <w:kern w:val="0"/>
          <w:szCs w:val="21"/>
          <w:lang w:bidi="ar"/>
        </w:rPr>
        <w:t>备份一体机</w:t>
      </w: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网络管理平台</w:t>
      </w:r>
      <w:r>
        <w:rPr>
          <w:rFonts w:hint="eastAsia" w:ascii="宋体" w:hAnsi="宋体" w:cs="宋体"/>
          <w:color w:val="000000"/>
          <w:kern w:val="0"/>
          <w:szCs w:val="21"/>
          <w:lang w:val="en-US" w:eastAsia="zh-CN" w:bidi="ar"/>
        </w:rPr>
        <w:t>1套</w:t>
      </w:r>
      <w:r>
        <w:rPr>
          <w:rFonts w:hint="eastAsia"/>
          <w:b w:val="0"/>
          <w:bCs w:val="0"/>
          <w:color w:val="000000"/>
          <w:sz w:val="24"/>
          <w:szCs w:val="24"/>
          <w:highlight w:val="none"/>
          <w:lang w:eastAsia="zh-CN"/>
        </w:rPr>
        <w:t>。主要网络及安全设备日志保存六个月以上，</w:t>
      </w:r>
      <w:r>
        <w:rPr>
          <w:rFonts w:hint="eastAsia" w:ascii="宋体" w:hAnsi="宋体" w:eastAsia="宋体" w:cs="宋体"/>
          <w:w w:val="105"/>
          <w:kern w:val="0"/>
          <w:sz w:val="24"/>
          <w:szCs w:val="24"/>
          <w:highlight w:val="none"/>
          <w:lang w:val="en-US" w:eastAsia="zh-CN" w:bidi="ar-SA"/>
        </w:rPr>
        <w:t>项目涉及租用的设备及平台符合信创要求，并提供相关</w:t>
      </w:r>
      <w:r>
        <w:rPr>
          <w:rFonts w:hint="eastAsia" w:ascii="宋体" w:hAnsi="宋体" w:cs="宋体"/>
          <w:w w:val="105"/>
          <w:kern w:val="0"/>
          <w:sz w:val="24"/>
          <w:szCs w:val="24"/>
          <w:highlight w:val="none"/>
          <w:lang w:val="en-US" w:eastAsia="zh-CN" w:bidi="ar-SA"/>
        </w:rPr>
        <w:t>证明材料或者承诺</w:t>
      </w:r>
      <w:r>
        <w:rPr>
          <w:rFonts w:hint="eastAsia" w:ascii="宋体" w:hAnsi="宋体" w:eastAsia="宋体" w:cs="宋体"/>
          <w:w w:val="105"/>
          <w:kern w:val="0"/>
          <w:sz w:val="24"/>
          <w:szCs w:val="24"/>
          <w:highlight w:val="none"/>
          <w:lang w:val="en-US" w:eastAsia="zh-CN" w:bidi="ar-SA"/>
        </w:rPr>
        <w:t>。</w:t>
      </w:r>
    </w:p>
    <w:p w14:paraId="402E6E78">
      <w:pPr>
        <w:adjustRightInd w:val="0"/>
        <w:snapToGrid w:val="0"/>
        <w:spacing w:line="360" w:lineRule="auto"/>
        <w:ind w:firstLine="504" w:firstLineChars="200"/>
        <w:rPr>
          <w:rFonts w:hint="eastAsia" w:ascii="宋体" w:hAnsi="宋体" w:eastAsia="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安全设施租赁要求满足：</w:t>
      </w:r>
    </w:p>
    <w:p w14:paraId="64593799">
      <w:pPr>
        <w:adjustRightInd w:val="0"/>
        <w:snapToGrid w:val="0"/>
        <w:spacing w:line="360" w:lineRule="auto"/>
        <w:ind w:firstLine="504" w:firstLineChars="200"/>
        <w:rPr>
          <w:rFonts w:hint="default" w:ascii="宋体" w:hAnsi="宋体" w:eastAsia="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（1）服务期内各规则库升级许可服务，租赁设备的软硬件及功能模块规则库更新在合同履行期限内均在质保期内</w:t>
      </w:r>
      <w:r>
        <w:rPr>
          <w:rFonts w:hint="eastAsia" w:ascii="宋体" w:hAnsi="宋体" w:cs="宋体"/>
          <w:w w:val="105"/>
          <w:kern w:val="2"/>
          <w:sz w:val="24"/>
          <w:szCs w:val="24"/>
          <w:highlight w:val="none"/>
          <w:lang w:val="en-US" w:eastAsia="zh-CN" w:bidi="ar-SA"/>
        </w:rPr>
        <w:t>；</w:t>
      </w:r>
    </w:p>
    <w:p w14:paraId="1031B7A7">
      <w:pPr>
        <w:adjustRightInd w:val="0"/>
        <w:snapToGrid w:val="0"/>
        <w:spacing w:line="360" w:lineRule="auto"/>
        <w:ind w:firstLine="504" w:firstLineChars="200"/>
        <w:rPr>
          <w:rFonts w:hint="default" w:ascii="宋体" w:hAnsi="宋体" w:eastAsia="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（2）各设备原厂商提供相应的技术咨询及指导服务，对设备的常规使用进行培训</w:t>
      </w:r>
      <w:r>
        <w:rPr>
          <w:rFonts w:hint="eastAsia" w:ascii="宋体" w:hAnsi="宋体" w:cs="宋体"/>
          <w:w w:val="105"/>
          <w:kern w:val="2"/>
          <w:sz w:val="24"/>
          <w:szCs w:val="24"/>
          <w:highlight w:val="none"/>
          <w:lang w:val="en-US" w:eastAsia="zh-CN" w:bidi="ar-SA"/>
        </w:rPr>
        <w:t>；</w:t>
      </w:r>
    </w:p>
    <w:p w14:paraId="0D276390">
      <w:pPr>
        <w:adjustRightInd w:val="0"/>
        <w:snapToGrid w:val="0"/>
        <w:spacing w:line="360" w:lineRule="auto"/>
        <w:ind w:firstLine="504" w:firstLineChars="200"/>
        <w:rPr>
          <w:rFonts w:hint="default" w:ascii="宋体" w:hAnsi="宋体" w:eastAsia="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（3）工作日设备每日巡检服务</w:t>
      </w:r>
      <w:r>
        <w:rPr>
          <w:rFonts w:hint="eastAsia" w:ascii="宋体" w:hAnsi="宋体" w:cs="宋体"/>
          <w:w w:val="105"/>
          <w:kern w:val="2"/>
          <w:sz w:val="24"/>
          <w:szCs w:val="24"/>
          <w:highlight w:val="none"/>
          <w:lang w:val="en-US" w:eastAsia="zh-CN" w:bidi="ar-SA"/>
        </w:rPr>
        <w:t>；</w:t>
      </w:r>
    </w:p>
    <w:p w14:paraId="08BBB682">
      <w:pPr>
        <w:adjustRightInd w:val="0"/>
        <w:snapToGrid w:val="0"/>
        <w:spacing w:line="360" w:lineRule="auto"/>
        <w:ind w:firstLine="504" w:firstLineChars="200"/>
        <w:rPr>
          <w:rFonts w:hint="default" w:ascii="宋体" w:hAnsi="宋体" w:eastAsia="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（4)提供故障维修服务，出现故障安排服务人员上门更换硬件或配件，确保设备正常运行，备机备件实时更换服务</w:t>
      </w:r>
      <w:r>
        <w:rPr>
          <w:rFonts w:hint="eastAsia" w:ascii="宋体" w:hAnsi="宋体" w:cs="宋体"/>
          <w:w w:val="105"/>
          <w:kern w:val="2"/>
          <w:sz w:val="24"/>
          <w:szCs w:val="24"/>
          <w:highlight w:val="none"/>
          <w:lang w:val="en-US" w:eastAsia="zh-CN" w:bidi="ar-SA"/>
        </w:rPr>
        <w:t>；</w:t>
      </w:r>
    </w:p>
    <w:p w14:paraId="3C382851">
      <w:pPr>
        <w:adjustRightInd w:val="0"/>
        <w:snapToGrid w:val="0"/>
        <w:spacing w:line="360" w:lineRule="auto"/>
        <w:ind w:firstLine="504" w:firstLineChars="200"/>
        <w:rPr>
          <w:rFonts w:hint="eastAsia" w:ascii="宋体" w:hAnsi="宋体" w:cs="宋体"/>
          <w:w w:val="105"/>
          <w:kern w:val="2"/>
          <w:sz w:val="24"/>
          <w:szCs w:val="24"/>
          <w:highlight w:val="none"/>
          <w:lang w:val="en-US" w:eastAsia="zh-CN" w:bidi="ar-SA"/>
        </w:rPr>
      </w:pPr>
      <w:r>
        <w:rPr>
          <w:rFonts w:hint="eastAsia" w:ascii="宋体" w:hAnsi="宋体" w:eastAsia="宋体" w:cs="宋体"/>
          <w:w w:val="105"/>
          <w:kern w:val="2"/>
          <w:sz w:val="24"/>
          <w:szCs w:val="24"/>
          <w:highlight w:val="none"/>
          <w:lang w:val="en-US" w:eastAsia="zh-CN" w:bidi="ar-SA"/>
        </w:rPr>
        <w:t>(5)7*24应急响应服务，设备故障响应时间≤30分钟</w:t>
      </w:r>
      <w:r>
        <w:rPr>
          <w:rFonts w:hint="eastAsia" w:ascii="宋体" w:hAnsi="宋体" w:cs="宋体"/>
          <w:w w:val="105"/>
          <w:kern w:val="2"/>
          <w:sz w:val="24"/>
          <w:szCs w:val="24"/>
          <w:highlight w:val="none"/>
          <w:lang w:val="en-US" w:eastAsia="zh-CN" w:bidi="ar-SA"/>
        </w:rPr>
        <w:t>。</w:t>
      </w:r>
    </w:p>
    <w:p w14:paraId="6A9AAC11">
      <w:pPr>
        <w:pStyle w:val="9"/>
        <w:adjustRightInd w:val="0"/>
        <w:snapToGrid w:val="0"/>
        <w:spacing w:line="360" w:lineRule="auto"/>
        <w:ind w:firstLine="504"/>
        <w:rPr>
          <w:rFonts w:hint="eastAsia" w:cs="宋体"/>
          <w:w w:val="105"/>
          <w:kern w:val="2"/>
          <w:sz w:val="24"/>
          <w:szCs w:val="24"/>
          <w:highlight w:val="none"/>
          <w:lang w:val="en-US" w:eastAsia="zh-CN" w:bidi="ar-SA"/>
        </w:rPr>
      </w:pPr>
      <w:r>
        <w:rPr>
          <w:rFonts w:hint="eastAsia" w:eastAsia="宋体" w:cs="宋体"/>
          <w:w w:val="105"/>
          <w:kern w:val="2"/>
          <w:sz w:val="24"/>
          <w:szCs w:val="24"/>
          <w:highlight w:val="none"/>
          <w:lang w:val="en-US" w:eastAsia="zh-CN" w:bidi="ar-SA"/>
        </w:rPr>
        <w:t>（</w:t>
      </w:r>
      <w:r>
        <w:rPr>
          <w:rFonts w:hint="eastAsia" w:ascii="宋体" w:hAnsi="宋体" w:eastAsia="宋体" w:cs="宋体"/>
          <w:w w:val="105"/>
          <w:kern w:val="2"/>
          <w:sz w:val="24"/>
          <w:szCs w:val="24"/>
          <w:highlight w:val="none"/>
          <w:lang w:val="en-US" w:eastAsia="zh-CN" w:bidi="ar-SA"/>
        </w:rPr>
        <w:t>6</w:t>
      </w:r>
      <w:r>
        <w:rPr>
          <w:rFonts w:hint="eastAsia" w:eastAsia="宋体" w:cs="宋体"/>
          <w:w w:val="105"/>
          <w:kern w:val="2"/>
          <w:sz w:val="24"/>
          <w:szCs w:val="24"/>
          <w:highlight w:val="none"/>
          <w:lang w:val="en-US" w:eastAsia="zh-CN" w:bidi="ar-SA"/>
        </w:rPr>
        <w:t>）</w:t>
      </w:r>
      <w:r>
        <w:rPr>
          <w:rFonts w:hint="eastAsia" w:cs="宋体"/>
          <w:w w:val="105"/>
          <w:kern w:val="2"/>
          <w:sz w:val="24"/>
          <w:szCs w:val="24"/>
          <w:highlight w:val="none"/>
          <w:lang w:val="en-US" w:eastAsia="zh-CN" w:bidi="ar-SA"/>
        </w:rPr>
        <w:t>主要网络及安全设备日志保存六个月以上。</w:t>
      </w:r>
    </w:p>
    <w:p w14:paraId="7DBE1FFF">
      <w:pPr>
        <w:pStyle w:val="9"/>
        <w:adjustRightInd w:val="0"/>
        <w:snapToGrid w:val="0"/>
        <w:spacing w:line="360" w:lineRule="auto"/>
        <w:ind w:firstLine="504"/>
        <w:rPr>
          <w:rFonts w:hint="eastAsia" w:cs="宋体"/>
          <w:w w:val="105"/>
          <w:kern w:val="2"/>
          <w:sz w:val="24"/>
          <w:szCs w:val="24"/>
          <w:highlight w:val="none"/>
          <w:lang w:val="en-US" w:eastAsia="zh-CN" w:bidi="ar-SA"/>
        </w:rPr>
      </w:pPr>
      <w:r>
        <w:rPr>
          <w:rFonts w:hint="eastAsia" w:cs="宋体"/>
          <w:w w:val="105"/>
          <w:kern w:val="2"/>
          <w:sz w:val="24"/>
          <w:szCs w:val="24"/>
          <w:highlight w:val="none"/>
          <w:lang w:val="en-US" w:eastAsia="zh-CN" w:bidi="ar-SA"/>
        </w:rPr>
        <w:t>（7）硬件需与医院内部的系统相适配，如与现有系统不适配则需无条件更换至适配为止。</w:t>
      </w:r>
    </w:p>
    <w:p w14:paraId="530B8F63">
      <w:pPr>
        <w:pStyle w:val="9"/>
        <w:adjustRightInd w:val="0"/>
        <w:snapToGrid w:val="0"/>
        <w:spacing w:line="360" w:lineRule="auto"/>
        <w:ind w:firstLine="504"/>
        <w:rPr>
          <w:rFonts w:hint="eastAsia" w:cs="宋体"/>
          <w:w w:val="105"/>
          <w:kern w:val="2"/>
          <w:sz w:val="24"/>
          <w:szCs w:val="24"/>
          <w:highlight w:val="none"/>
          <w:lang w:val="en-US" w:eastAsia="zh-CN" w:bidi="ar-SA"/>
        </w:rPr>
      </w:pPr>
      <w:r>
        <w:rPr>
          <w:rFonts w:hint="eastAsia" w:cs="宋体"/>
          <w:w w:val="105"/>
          <w:kern w:val="2"/>
          <w:sz w:val="24"/>
          <w:szCs w:val="24"/>
          <w:highlight w:val="none"/>
          <w:lang w:val="en-US" w:eastAsia="zh-CN" w:bidi="ar-SA"/>
        </w:rPr>
        <w:t>（8）满足采购人3年业务所需。</w:t>
      </w:r>
    </w:p>
    <w:p w14:paraId="0382A58D">
      <w:pPr>
        <w:adjustRightInd w:val="0"/>
        <w:snapToGrid w:val="0"/>
        <w:spacing w:line="360" w:lineRule="auto"/>
        <w:ind w:firstLine="480" w:firstLineChars="200"/>
        <w:rPr>
          <w:rFonts w:hint="eastAsia" w:ascii="宋体" w:hAnsi="宋体" w:eastAsia="宋体" w:cs="宋体"/>
          <w:w w:val="105"/>
          <w:kern w:val="2"/>
          <w:sz w:val="24"/>
          <w:szCs w:val="24"/>
          <w:highlight w:val="none"/>
          <w:lang w:val="en-US" w:eastAsia="zh-CN" w:bidi="ar-SA"/>
        </w:rPr>
      </w:pPr>
      <w:r>
        <w:rPr>
          <w:rFonts w:hint="eastAsia" w:ascii="宋体" w:hAnsi="宋体" w:eastAsia="宋体" w:cs="宋体"/>
          <w:sz w:val="24"/>
          <w:szCs w:val="24"/>
          <w:highlight w:val="none"/>
        </w:rPr>
        <w:t>专业基础设施服务</w:t>
      </w:r>
      <w:r>
        <w:rPr>
          <w:rFonts w:hint="eastAsia" w:ascii="宋体" w:hAnsi="宋体" w:eastAsia="宋体" w:cs="宋体"/>
          <w:w w:val="105"/>
          <w:kern w:val="2"/>
          <w:sz w:val="24"/>
          <w:szCs w:val="24"/>
          <w:highlight w:val="none"/>
          <w:lang w:val="en-US" w:eastAsia="zh-CN" w:bidi="ar-SA"/>
        </w:rPr>
        <w:t>主要基础设施（包含但不限于）租用如下：</w:t>
      </w:r>
    </w:p>
    <w:p w14:paraId="4429A4F3">
      <w:pPr>
        <w:adjustRightInd w:val="0"/>
        <w:snapToGrid w:val="0"/>
        <w:spacing w:line="360" w:lineRule="auto"/>
        <w:ind w:firstLine="420" w:firstLineChars="200"/>
        <w:jc w:val="center"/>
        <w:rPr>
          <w:highlight w:val="none"/>
        </w:rPr>
      </w:pPr>
      <w:r>
        <w:rPr>
          <w:rFonts w:hint="eastAsia"/>
          <w:highlight w:val="none"/>
        </w:rPr>
        <w:t>设备租用清单</w:t>
      </w:r>
    </w:p>
    <w:tbl>
      <w:tblPr>
        <w:tblStyle w:val="10"/>
        <w:tblW w:w="8757" w:type="dxa"/>
        <w:jc w:val="center"/>
        <w:tblLayout w:type="fixed"/>
        <w:tblCellMar>
          <w:top w:w="0" w:type="dxa"/>
          <w:left w:w="108" w:type="dxa"/>
          <w:bottom w:w="0" w:type="dxa"/>
          <w:right w:w="108" w:type="dxa"/>
        </w:tblCellMar>
      </w:tblPr>
      <w:tblGrid>
        <w:gridCol w:w="750"/>
        <w:gridCol w:w="2067"/>
        <w:gridCol w:w="5940"/>
      </w:tblGrid>
      <w:tr w14:paraId="74F0AAD8">
        <w:tblPrEx>
          <w:tblCellMar>
            <w:top w:w="0" w:type="dxa"/>
            <w:left w:w="108" w:type="dxa"/>
            <w:bottom w:w="0" w:type="dxa"/>
            <w:right w:w="108" w:type="dxa"/>
          </w:tblCellMar>
        </w:tblPrEx>
        <w:trPr>
          <w:trHeight w:val="312" w:hRule="atLeast"/>
          <w:tblHeader/>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1381E70">
            <w:pPr>
              <w:widowControl/>
              <w:kinsoku/>
              <w:wordWrap/>
              <w:overflowPunct/>
              <w:topLinePunct w:val="0"/>
              <w:autoSpaceDE/>
              <w:autoSpaceDN/>
              <w:bidi w:val="0"/>
              <w:spacing w:line="240" w:lineRule="auto"/>
              <w:ind w:firstLine="0" w:firstLineChars="0"/>
              <w:jc w:val="center"/>
              <w:rPr>
                <w:rFonts w:ascii="宋体" w:hAnsi="宋体" w:cs="宋体"/>
                <w:b/>
                <w:bCs/>
                <w:kern w:val="0"/>
                <w:sz w:val="21"/>
                <w:szCs w:val="21"/>
                <w:highlight w:val="none"/>
              </w:rPr>
            </w:pPr>
            <w:r>
              <w:rPr>
                <w:rFonts w:hint="eastAsia" w:ascii="宋体" w:hAnsi="宋体" w:cs="宋体"/>
                <w:b/>
                <w:bCs/>
                <w:kern w:val="0"/>
                <w:sz w:val="21"/>
                <w:szCs w:val="21"/>
                <w:highlight w:val="none"/>
              </w:rPr>
              <w:t>序号</w:t>
            </w:r>
          </w:p>
        </w:tc>
        <w:tc>
          <w:tcPr>
            <w:tcW w:w="2067" w:type="dxa"/>
            <w:tcBorders>
              <w:top w:val="single" w:color="auto" w:sz="4" w:space="0"/>
              <w:left w:val="nil"/>
              <w:bottom w:val="single" w:color="auto" w:sz="4" w:space="0"/>
              <w:right w:val="single" w:color="auto" w:sz="4" w:space="0"/>
            </w:tcBorders>
            <w:shd w:val="clear" w:color="auto" w:fill="auto"/>
            <w:vAlign w:val="center"/>
          </w:tcPr>
          <w:p w14:paraId="041D148D">
            <w:pPr>
              <w:widowControl/>
              <w:kinsoku/>
              <w:wordWrap/>
              <w:overflowPunct/>
              <w:topLinePunct w:val="0"/>
              <w:autoSpaceDE/>
              <w:autoSpaceDN/>
              <w:bidi w:val="0"/>
              <w:spacing w:line="240" w:lineRule="auto"/>
              <w:ind w:firstLine="0" w:firstLineChars="0"/>
              <w:jc w:val="center"/>
              <w:rPr>
                <w:rFonts w:ascii="宋体" w:hAnsi="宋体" w:cs="宋体"/>
                <w:b/>
                <w:bCs/>
                <w:kern w:val="0"/>
                <w:sz w:val="21"/>
                <w:szCs w:val="21"/>
                <w:highlight w:val="none"/>
              </w:rPr>
            </w:pPr>
            <w:r>
              <w:rPr>
                <w:rFonts w:hint="eastAsia" w:ascii="宋体" w:hAnsi="宋体" w:cs="宋体"/>
                <w:b/>
                <w:bCs/>
                <w:kern w:val="0"/>
                <w:sz w:val="21"/>
                <w:szCs w:val="21"/>
                <w:highlight w:val="none"/>
              </w:rPr>
              <w:t>名称及类别</w:t>
            </w:r>
          </w:p>
        </w:tc>
        <w:tc>
          <w:tcPr>
            <w:tcW w:w="5940" w:type="dxa"/>
            <w:tcBorders>
              <w:top w:val="single" w:color="auto" w:sz="4" w:space="0"/>
              <w:left w:val="nil"/>
              <w:bottom w:val="single" w:color="auto" w:sz="4" w:space="0"/>
              <w:right w:val="single" w:color="auto" w:sz="4" w:space="0"/>
            </w:tcBorders>
            <w:shd w:val="clear" w:color="auto" w:fill="auto"/>
            <w:vAlign w:val="center"/>
          </w:tcPr>
          <w:p w14:paraId="14FE960A">
            <w:pPr>
              <w:widowControl/>
              <w:kinsoku/>
              <w:wordWrap/>
              <w:overflowPunct/>
              <w:topLinePunct w:val="0"/>
              <w:autoSpaceDE/>
              <w:autoSpaceDN/>
              <w:bidi w:val="0"/>
              <w:spacing w:line="240" w:lineRule="auto"/>
              <w:ind w:firstLine="0" w:firstLineChars="0"/>
              <w:jc w:val="center"/>
              <w:rPr>
                <w:rFonts w:hint="eastAsia" w:ascii="宋体" w:hAnsi="宋体" w:eastAsia="宋体" w:cs="宋体"/>
                <w:b/>
                <w:bCs/>
                <w:kern w:val="0"/>
                <w:sz w:val="21"/>
                <w:szCs w:val="21"/>
                <w:highlight w:val="none"/>
                <w:lang w:eastAsia="zh-CN"/>
              </w:rPr>
            </w:pPr>
            <w:r>
              <w:rPr>
                <w:rFonts w:hint="eastAsia" w:ascii="宋体" w:hAnsi="宋体" w:cs="宋体"/>
                <w:b/>
                <w:bCs/>
                <w:kern w:val="0"/>
                <w:sz w:val="21"/>
                <w:szCs w:val="21"/>
                <w:highlight w:val="none"/>
              </w:rPr>
              <w:t>设备配置</w:t>
            </w:r>
            <w:r>
              <w:rPr>
                <w:rFonts w:hint="eastAsia" w:ascii="宋体" w:hAnsi="宋体" w:cs="宋体"/>
                <w:b/>
                <w:bCs/>
                <w:kern w:val="0"/>
                <w:sz w:val="21"/>
                <w:szCs w:val="21"/>
                <w:highlight w:val="none"/>
                <w:lang w:eastAsia="zh-CN"/>
              </w:rPr>
              <w:t>要求</w:t>
            </w:r>
          </w:p>
        </w:tc>
      </w:tr>
      <w:tr w14:paraId="1FFEC580">
        <w:tblPrEx>
          <w:tblCellMar>
            <w:top w:w="0" w:type="dxa"/>
            <w:left w:w="108" w:type="dxa"/>
            <w:bottom w:w="0" w:type="dxa"/>
            <w:right w:w="108" w:type="dxa"/>
          </w:tblCellMar>
        </w:tblPrEx>
        <w:trPr>
          <w:trHeight w:val="1640" w:hRule="atLeast"/>
          <w:jc w:val="center"/>
        </w:trPr>
        <w:tc>
          <w:tcPr>
            <w:tcW w:w="750" w:type="dxa"/>
            <w:tcBorders>
              <w:top w:val="nil"/>
              <w:left w:val="single" w:color="auto" w:sz="4" w:space="0"/>
              <w:bottom w:val="single" w:color="auto" w:sz="4" w:space="0"/>
              <w:right w:val="single" w:color="auto" w:sz="4" w:space="0"/>
            </w:tcBorders>
            <w:shd w:val="clear" w:color="auto" w:fill="auto"/>
            <w:vAlign w:val="center"/>
          </w:tcPr>
          <w:p w14:paraId="223FF85E">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GB" w:eastAsia="zh-CN" w:bidi="ar-SA"/>
              </w:rPr>
            </w:pPr>
            <w:r>
              <w:rPr>
                <w:rFonts w:hint="eastAsia" w:ascii="宋体" w:hAnsi="宋体" w:eastAsia="宋体" w:cs="宋体"/>
                <w:kern w:val="0"/>
                <w:sz w:val="21"/>
                <w:szCs w:val="21"/>
                <w:highlight w:val="none"/>
                <w:lang w:val="en-US" w:eastAsia="zh-CN"/>
              </w:rPr>
              <w:t>1</w:t>
            </w:r>
          </w:p>
        </w:tc>
        <w:tc>
          <w:tcPr>
            <w:tcW w:w="2067" w:type="dxa"/>
            <w:tcBorders>
              <w:top w:val="nil"/>
              <w:left w:val="nil"/>
              <w:bottom w:val="single" w:color="auto" w:sz="4" w:space="0"/>
              <w:right w:val="single" w:color="auto" w:sz="4" w:space="0"/>
            </w:tcBorders>
            <w:shd w:val="clear" w:color="auto" w:fill="auto"/>
            <w:vAlign w:val="center"/>
          </w:tcPr>
          <w:p w14:paraId="218F0496">
            <w:pPr>
              <w:widowControl/>
              <w:kinsoku/>
              <w:wordWrap/>
              <w:overflowPunct/>
              <w:topLinePunct w:val="0"/>
              <w:autoSpaceDE/>
              <w:autoSpaceDN/>
              <w:bidi w:val="0"/>
              <w:spacing w:line="240" w:lineRule="auto"/>
              <w:ind w:firstLine="0" w:firstLineChars="0"/>
              <w:jc w:val="both"/>
              <w:rPr>
                <w:rFonts w:hint="default" w:ascii="宋体" w:hAnsi="宋体" w:eastAsia="宋体" w:cs="宋体"/>
                <w:kern w:val="0"/>
                <w:sz w:val="21"/>
                <w:szCs w:val="21"/>
                <w:highlight w:val="none"/>
                <w:lang w:val="en-US" w:eastAsia="zh-CN" w:bidi="ar-SA"/>
              </w:rPr>
            </w:pPr>
            <w:r>
              <w:rPr>
                <w:rFonts w:hint="eastAsia" w:ascii="宋体" w:hAnsi="宋体" w:cs="宋体"/>
                <w:color w:val="000000"/>
                <w:kern w:val="0"/>
                <w:szCs w:val="21"/>
                <w:lang w:bidi="ar"/>
              </w:rPr>
              <w:t>外网出口防火墙</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1</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2）租赁</w:t>
            </w:r>
            <w:r>
              <w:rPr>
                <w:rFonts w:hint="eastAsia" w:ascii="宋体" w:hAnsi="宋体" w:cs="宋体"/>
                <w:kern w:val="0"/>
                <w:sz w:val="21"/>
                <w:szCs w:val="21"/>
                <w:highlight w:val="none"/>
              </w:rPr>
              <w:t>服务</w:t>
            </w:r>
          </w:p>
        </w:tc>
        <w:tc>
          <w:tcPr>
            <w:tcW w:w="5940" w:type="dxa"/>
            <w:tcBorders>
              <w:top w:val="nil"/>
              <w:left w:val="nil"/>
              <w:bottom w:val="single" w:color="auto" w:sz="4" w:space="0"/>
              <w:right w:val="single" w:color="auto" w:sz="4" w:space="0"/>
            </w:tcBorders>
            <w:shd w:val="clear" w:color="auto" w:fill="auto"/>
            <w:vAlign w:val="center"/>
          </w:tcPr>
          <w:p w14:paraId="5E0EDFC6">
            <w:pPr>
              <w:widowControl/>
              <w:kinsoku/>
              <w:wordWrap/>
              <w:overflowPunct/>
              <w:topLinePunct w:val="0"/>
              <w:autoSpaceDE/>
              <w:autoSpaceDN/>
              <w:bidi w:val="0"/>
              <w:spacing w:line="240" w:lineRule="auto"/>
              <w:ind w:firstLine="0" w:firstLineChars="0"/>
              <w:jc w:val="both"/>
              <w:rPr>
                <w:rFonts w:hint="eastAsia" w:ascii="宋体" w:hAnsi="宋体" w:cs="宋体"/>
                <w:szCs w:val="21"/>
                <w:highlight w:val="none"/>
                <w:lang w:val="en-US" w:eastAsia="zh-CN"/>
              </w:rPr>
            </w:pPr>
            <w:r>
              <w:rPr>
                <w:rFonts w:hint="eastAsia" w:ascii="宋体" w:hAnsi="宋体" w:cs="宋体"/>
                <w:kern w:val="0"/>
                <w:sz w:val="21"/>
                <w:szCs w:val="21"/>
                <w:highlight w:val="none"/>
                <w:lang w:val="en-US" w:eastAsia="zh-CN"/>
              </w:rPr>
              <w:t>2台。</w:t>
            </w:r>
            <w:r>
              <w:rPr>
                <w:rFonts w:hint="eastAsia" w:ascii="宋体" w:hAnsi="宋体" w:cs="宋体"/>
                <w:kern w:val="0"/>
                <w:sz w:val="21"/>
                <w:szCs w:val="21"/>
                <w:highlight w:val="none"/>
              </w:rPr>
              <w:t>双电源，</w:t>
            </w:r>
            <w:r>
              <w:rPr>
                <w:rFonts w:hint="eastAsia" w:ascii="宋体" w:hAnsi="宋体" w:cs="宋体"/>
                <w:color w:val="000000"/>
                <w:kern w:val="0"/>
                <w:szCs w:val="21"/>
                <w:lang w:bidi="ar"/>
              </w:rPr>
              <w:t>网络层吞吐量≥20G，应用层吞吐量≥9G，防病毒吞吐量≥1.5G，IPS吞吐量≥1.3G，并发连接数≥200万，HTTP新建连接数≥9万</w:t>
            </w:r>
            <w:r>
              <w:rPr>
                <w:rFonts w:hint="eastAsia" w:ascii="宋体" w:hAnsi="宋体" w:cs="宋体"/>
                <w:kern w:val="0"/>
                <w:sz w:val="21"/>
                <w:szCs w:val="21"/>
                <w:highlight w:val="none"/>
              </w:rPr>
              <w:t>。功能模块：系统管理、身份认证、攻击防护、高可用、病毒防护、IPS。</w:t>
            </w:r>
          </w:p>
        </w:tc>
      </w:tr>
      <w:tr w14:paraId="5EA2D04D">
        <w:tblPrEx>
          <w:tblCellMar>
            <w:top w:w="0" w:type="dxa"/>
            <w:left w:w="108" w:type="dxa"/>
            <w:bottom w:w="0" w:type="dxa"/>
            <w:right w:w="108" w:type="dxa"/>
          </w:tblCellMar>
        </w:tblPrEx>
        <w:trPr>
          <w:trHeight w:val="1640" w:hRule="atLeast"/>
          <w:jc w:val="center"/>
        </w:trPr>
        <w:tc>
          <w:tcPr>
            <w:tcW w:w="750" w:type="dxa"/>
            <w:tcBorders>
              <w:top w:val="nil"/>
              <w:left w:val="single" w:color="auto" w:sz="4" w:space="0"/>
              <w:bottom w:val="single" w:color="auto" w:sz="4" w:space="0"/>
              <w:right w:val="single" w:color="auto" w:sz="4" w:space="0"/>
            </w:tcBorders>
            <w:shd w:val="clear" w:color="auto" w:fill="auto"/>
            <w:vAlign w:val="center"/>
          </w:tcPr>
          <w:p w14:paraId="7F4C3521">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GB" w:eastAsia="zh-CN" w:bidi="ar-SA"/>
              </w:rPr>
            </w:pPr>
            <w:r>
              <w:rPr>
                <w:rFonts w:hint="eastAsia" w:ascii="宋体" w:hAnsi="宋体" w:eastAsia="宋体" w:cs="宋体"/>
                <w:kern w:val="0"/>
                <w:sz w:val="21"/>
                <w:szCs w:val="21"/>
                <w:highlight w:val="none"/>
                <w:lang w:val="en-US" w:eastAsia="zh-CN"/>
              </w:rPr>
              <w:t>2</w:t>
            </w:r>
          </w:p>
        </w:tc>
        <w:tc>
          <w:tcPr>
            <w:tcW w:w="2067" w:type="dxa"/>
            <w:tcBorders>
              <w:top w:val="nil"/>
              <w:left w:val="nil"/>
              <w:bottom w:val="single" w:color="auto" w:sz="4" w:space="0"/>
              <w:right w:val="single" w:color="auto" w:sz="4" w:space="0"/>
            </w:tcBorders>
            <w:shd w:val="clear" w:color="auto" w:fill="auto"/>
            <w:vAlign w:val="center"/>
          </w:tcPr>
          <w:p w14:paraId="56120E7F">
            <w:pPr>
              <w:widowControl/>
              <w:kinsoku/>
              <w:wordWrap/>
              <w:overflowPunct/>
              <w:topLinePunct w:val="0"/>
              <w:autoSpaceDE/>
              <w:autoSpaceDN/>
              <w:bidi w:val="0"/>
              <w:spacing w:line="240" w:lineRule="auto"/>
              <w:ind w:firstLine="0" w:firstLineChars="0"/>
              <w:jc w:val="both"/>
              <w:rPr>
                <w:rFonts w:hint="eastAsia" w:ascii="宋体" w:hAnsi="宋体" w:eastAsia="宋体" w:cs="宋体"/>
                <w:kern w:val="0"/>
                <w:sz w:val="21"/>
                <w:szCs w:val="21"/>
                <w:highlight w:val="none"/>
                <w:lang w:val="en-US" w:eastAsia="zh-CN" w:bidi="ar-SA"/>
              </w:rPr>
            </w:pPr>
            <w:r>
              <w:rPr>
                <w:rFonts w:hint="eastAsia" w:ascii="宋体" w:hAnsi="宋体" w:cs="宋体"/>
                <w:color w:val="000000"/>
                <w:kern w:val="0"/>
                <w:szCs w:val="21"/>
                <w:lang w:bidi="ar"/>
              </w:rPr>
              <w:t>内网防火墙</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3）租赁</w:t>
            </w:r>
            <w:r>
              <w:rPr>
                <w:rFonts w:hint="eastAsia" w:ascii="宋体" w:hAnsi="宋体" w:cs="宋体"/>
                <w:kern w:val="0"/>
                <w:sz w:val="21"/>
                <w:szCs w:val="21"/>
                <w:highlight w:val="none"/>
              </w:rPr>
              <w:t>服务</w:t>
            </w:r>
          </w:p>
        </w:tc>
        <w:tc>
          <w:tcPr>
            <w:tcW w:w="5940" w:type="dxa"/>
            <w:tcBorders>
              <w:top w:val="nil"/>
              <w:left w:val="nil"/>
              <w:bottom w:val="single" w:color="auto" w:sz="4" w:space="0"/>
              <w:right w:val="single" w:color="auto" w:sz="4" w:space="0"/>
            </w:tcBorders>
            <w:shd w:val="clear" w:color="auto" w:fill="auto"/>
            <w:vAlign w:val="center"/>
          </w:tcPr>
          <w:p w14:paraId="64B280AE">
            <w:pPr>
              <w:widowControl/>
              <w:kinsoku/>
              <w:wordWrap/>
              <w:overflowPunct/>
              <w:topLinePunct w:val="0"/>
              <w:autoSpaceDE/>
              <w:autoSpaceDN/>
              <w:bidi w:val="0"/>
              <w:spacing w:line="240" w:lineRule="auto"/>
              <w:ind w:firstLine="0" w:firstLineChars="0"/>
              <w:jc w:val="both"/>
              <w:rPr>
                <w:rFonts w:hint="eastAsia" w:ascii="宋体" w:hAnsi="宋体" w:cs="宋体"/>
                <w:kern w:val="0"/>
                <w:sz w:val="21"/>
                <w:szCs w:val="21"/>
                <w:highlight w:val="none"/>
                <w:lang w:val="en-US" w:eastAsia="zh-CN"/>
              </w:rPr>
            </w:pPr>
            <w:r>
              <w:rPr>
                <w:rFonts w:hint="eastAsia" w:ascii="宋体" w:hAnsi="宋体" w:cs="宋体"/>
                <w:kern w:val="0"/>
                <w:sz w:val="21"/>
                <w:szCs w:val="21"/>
                <w:highlight w:val="none"/>
                <w:lang w:val="en-US" w:eastAsia="zh-CN"/>
              </w:rPr>
              <w:t>1台。双电源，</w:t>
            </w:r>
            <w:r>
              <w:rPr>
                <w:rFonts w:hint="eastAsia" w:ascii="宋体" w:hAnsi="宋体" w:cs="宋体"/>
                <w:color w:val="000000"/>
                <w:kern w:val="0"/>
                <w:szCs w:val="21"/>
                <w:lang w:bidi="ar"/>
              </w:rPr>
              <w:t>网络层吞吐量≥10G，应用层吞吐量≥5G，防病毒吞吐量≥1G，IPS吞吐量≥800，并发连接数≥200万，HTTP新建连接数≥6万</w:t>
            </w:r>
            <w:r>
              <w:rPr>
                <w:rFonts w:hint="eastAsia" w:ascii="宋体" w:hAnsi="宋体" w:cs="宋体"/>
                <w:color w:val="000000"/>
                <w:kern w:val="0"/>
                <w:szCs w:val="21"/>
                <w:lang w:eastAsia="zh-CN" w:bidi="ar"/>
              </w:rPr>
              <w:t>。</w:t>
            </w:r>
            <w:r>
              <w:rPr>
                <w:rFonts w:hint="eastAsia" w:ascii="宋体" w:hAnsi="宋体" w:cs="宋体"/>
                <w:kern w:val="0"/>
                <w:sz w:val="21"/>
                <w:szCs w:val="21"/>
                <w:highlight w:val="none"/>
                <w:lang w:val="en-US" w:eastAsia="zh-CN"/>
              </w:rPr>
              <w:t>功能模块：系统管理、身份认证、攻击防护、高可用、病毒防护、IPS。</w:t>
            </w:r>
          </w:p>
        </w:tc>
      </w:tr>
      <w:tr w14:paraId="7EFA02FF">
        <w:tblPrEx>
          <w:tblCellMar>
            <w:top w:w="0" w:type="dxa"/>
            <w:left w:w="108" w:type="dxa"/>
            <w:bottom w:w="0" w:type="dxa"/>
            <w:right w:w="108" w:type="dxa"/>
          </w:tblCellMar>
        </w:tblPrEx>
        <w:trPr>
          <w:trHeight w:val="90" w:hRule="atLeast"/>
          <w:jc w:val="center"/>
        </w:trPr>
        <w:tc>
          <w:tcPr>
            <w:tcW w:w="750" w:type="dxa"/>
            <w:tcBorders>
              <w:top w:val="nil"/>
              <w:left w:val="single" w:color="auto" w:sz="4" w:space="0"/>
              <w:bottom w:val="single" w:color="auto" w:sz="4" w:space="0"/>
              <w:right w:val="single" w:color="auto" w:sz="4" w:space="0"/>
            </w:tcBorders>
            <w:shd w:val="clear" w:color="auto" w:fill="auto"/>
            <w:vAlign w:val="center"/>
          </w:tcPr>
          <w:p w14:paraId="0004B661">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GB" w:eastAsia="zh-CN" w:bidi="ar-SA"/>
              </w:rPr>
            </w:pPr>
            <w:r>
              <w:rPr>
                <w:rFonts w:hint="eastAsia" w:ascii="宋体" w:hAnsi="宋体" w:eastAsia="宋体" w:cs="宋体"/>
                <w:kern w:val="0"/>
                <w:sz w:val="21"/>
                <w:szCs w:val="21"/>
                <w:highlight w:val="none"/>
                <w:lang w:val="en-US" w:eastAsia="zh-CN"/>
              </w:rPr>
              <w:t>3</w:t>
            </w:r>
          </w:p>
        </w:tc>
        <w:tc>
          <w:tcPr>
            <w:tcW w:w="2067" w:type="dxa"/>
            <w:tcBorders>
              <w:top w:val="nil"/>
              <w:left w:val="nil"/>
              <w:bottom w:val="single" w:color="auto" w:sz="4" w:space="0"/>
              <w:right w:val="single" w:color="auto" w:sz="4" w:space="0"/>
            </w:tcBorders>
            <w:shd w:val="clear" w:color="auto" w:fill="auto"/>
            <w:vAlign w:val="center"/>
          </w:tcPr>
          <w:p w14:paraId="17292514">
            <w:pPr>
              <w:widowControl/>
              <w:kinsoku/>
              <w:wordWrap/>
              <w:overflowPunct/>
              <w:topLinePunct w:val="0"/>
              <w:autoSpaceDE/>
              <w:autoSpaceDN/>
              <w:bidi w:val="0"/>
              <w:spacing w:line="240" w:lineRule="auto"/>
              <w:ind w:firstLine="0" w:firstLineChars="0"/>
              <w:jc w:val="both"/>
              <w:rPr>
                <w:rFonts w:hint="eastAsia" w:ascii="宋体" w:hAnsi="宋体" w:eastAsia="宋体" w:cs="宋体"/>
                <w:kern w:val="0"/>
                <w:sz w:val="21"/>
                <w:szCs w:val="21"/>
                <w:highlight w:val="none"/>
                <w:lang w:val="en-US" w:eastAsia="zh-CN" w:bidi="ar-SA"/>
              </w:rPr>
            </w:pPr>
            <w:r>
              <w:rPr>
                <w:rFonts w:hint="eastAsia" w:ascii="宋体" w:hAnsi="宋体" w:cs="宋体"/>
                <w:color w:val="000000"/>
                <w:kern w:val="0"/>
                <w:szCs w:val="21"/>
                <w:lang w:bidi="ar"/>
              </w:rPr>
              <w:t>内网数据中心WAF</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4</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5）租赁</w:t>
            </w:r>
            <w:r>
              <w:rPr>
                <w:rFonts w:hint="eastAsia" w:ascii="宋体" w:hAnsi="宋体" w:cs="宋体"/>
                <w:kern w:val="0"/>
                <w:sz w:val="21"/>
                <w:szCs w:val="21"/>
                <w:highlight w:val="none"/>
              </w:rPr>
              <w:t>服务</w:t>
            </w:r>
          </w:p>
        </w:tc>
        <w:tc>
          <w:tcPr>
            <w:tcW w:w="5940" w:type="dxa"/>
            <w:tcBorders>
              <w:top w:val="nil"/>
              <w:left w:val="nil"/>
              <w:bottom w:val="single" w:color="auto" w:sz="4" w:space="0"/>
              <w:right w:val="single" w:color="auto" w:sz="4" w:space="0"/>
            </w:tcBorders>
            <w:shd w:val="clear" w:color="auto" w:fill="auto"/>
            <w:vAlign w:val="center"/>
          </w:tcPr>
          <w:p w14:paraId="33797AA6">
            <w:pPr>
              <w:rPr>
                <w:rFonts w:hint="eastAsia" w:ascii="宋体" w:hAnsi="宋体" w:cs="宋体"/>
                <w:kern w:val="0"/>
                <w:sz w:val="21"/>
                <w:szCs w:val="21"/>
                <w:highlight w:val="none"/>
                <w:lang w:val="en-US" w:eastAsia="zh-CN"/>
              </w:rPr>
            </w:pPr>
            <w:r>
              <w:rPr>
                <w:rFonts w:hint="eastAsia" w:ascii="宋体" w:hAnsi="宋体" w:cs="宋体"/>
                <w:kern w:val="0"/>
                <w:sz w:val="21"/>
                <w:szCs w:val="21"/>
                <w:highlight w:val="none"/>
                <w:lang w:val="en-US" w:eastAsia="zh-CN"/>
              </w:rPr>
              <w:t>2台。双电源，</w:t>
            </w:r>
            <w:r>
              <w:rPr>
                <w:rFonts w:hint="eastAsia" w:ascii="宋体" w:hAnsi="宋体" w:cs="宋体"/>
                <w:color w:val="000000"/>
                <w:kern w:val="0"/>
                <w:szCs w:val="21"/>
                <w:lang w:bidi="ar"/>
              </w:rPr>
              <w:t>网络层吞吐量≥35G，HTTP应用层吞吐量≥20G，HTTP新建连接数≥18万，HTTP并发连接数≥410万，SFP+</w:t>
            </w:r>
            <w:r>
              <w:rPr>
                <w:rFonts w:hint="eastAsia" w:ascii="宋体" w:hAnsi="宋体" w:cs="宋体"/>
                <w:color w:val="000000"/>
                <w:kern w:val="0"/>
                <w:szCs w:val="21"/>
                <w:lang w:eastAsia="zh-CN" w:bidi="ar"/>
              </w:rPr>
              <w:t>。</w:t>
            </w:r>
            <w:r>
              <w:rPr>
                <w:rFonts w:hint="eastAsia" w:ascii="宋体" w:hAnsi="宋体" w:cs="宋体"/>
                <w:kern w:val="0"/>
                <w:sz w:val="21"/>
                <w:szCs w:val="21"/>
                <w:highlight w:val="none"/>
                <w:lang w:val="en-US" w:eastAsia="zh-CN"/>
              </w:rPr>
              <w:t>功能模块：系统管理、身份认证、攻击防 护、高可用、病毒防护、IPS。</w:t>
            </w:r>
          </w:p>
        </w:tc>
      </w:tr>
      <w:tr w14:paraId="477EDBD2">
        <w:tblPrEx>
          <w:tblCellMar>
            <w:top w:w="0" w:type="dxa"/>
            <w:left w:w="108" w:type="dxa"/>
            <w:bottom w:w="0" w:type="dxa"/>
            <w:right w:w="108" w:type="dxa"/>
          </w:tblCellMar>
        </w:tblPrEx>
        <w:trPr>
          <w:trHeight w:val="892" w:hRule="atLeast"/>
          <w:jc w:val="center"/>
        </w:trPr>
        <w:tc>
          <w:tcPr>
            <w:tcW w:w="750" w:type="dxa"/>
            <w:tcBorders>
              <w:top w:val="nil"/>
              <w:left w:val="single" w:color="auto" w:sz="4" w:space="0"/>
              <w:bottom w:val="single" w:color="auto" w:sz="4" w:space="0"/>
              <w:right w:val="single" w:color="auto" w:sz="4" w:space="0"/>
            </w:tcBorders>
            <w:shd w:val="clear" w:color="auto" w:fill="auto"/>
            <w:vAlign w:val="center"/>
          </w:tcPr>
          <w:p w14:paraId="00D9CCCD">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4</w:t>
            </w:r>
          </w:p>
        </w:tc>
        <w:tc>
          <w:tcPr>
            <w:tcW w:w="2067" w:type="dxa"/>
            <w:tcBorders>
              <w:top w:val="nil"/>
              <w:left w:val="nil"/>
              <w:bottom w:val="single" w:color="auto" w:sz="4" w:space="0"/>
              <w:right w:val="single" w:color="auto" w:sz="4" w:space="0"/>
            </w:tcBorders>
            <w:shd w:val="clear" w:color="auto" w:fill="auto"/>
            <w:vAlign w:val="center"/>
          </w:tcPr>
          <w:p w14:paraId="14EA6B93">
            <w:pPr>
              <w:widowControl/>
              <w:kinsoku/>
              <w:wordWrap/>
              <w:overflowPunct/>
              <w:topLinePunct w:val="0"/>
              <w:autoSpaceDE/>
              <w:autoSpaceDN/>
              <w:bidi w:val="0"/>
              <w:spacing w:line="240" w:lineRule="auto"/>
              <w:ind w:firstLine="0" w:firstLineChars="0"/>
              <w:jc w:val="both"/>
              <w:rPr>
                <w:rFonts w:ascii="宋体" w:hAnsi="宋体" w:cs="宋体"/>
                <w:kern w:val="0"/>
                <w:sz w:val="21"/>
                <w:szCs w:val="21"/>
                <w:highlight w:val="none"/>
              </w:rPr>
            </w:pPr>
            <w:r>
              <w:rPr>
                <w:rFonts w:hint="eastAsia" w:ascii="宋体" w:hAnsi="宋体" w:cs="宋体"/>
                <w:color w:val="000000"/>
                <w:kern w:val="0"/>
                <w:szCs w:val="21"/>
                <w:lang w:bidi="ar"/>
              </w:rPr>
              <w:t>外网上网行为管理</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6</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7）租赁</w:t>
            </w:r>
            <w:r>
              <w:rPr>
                <w:rFonts w:hint="eastAsia" w:ascii="宋体" w:hAnsi="宋体" w:cs="宋体"/>
                <w:kern w:val="0"/>
                <w:sz w:val="21"/>
                <w:szCs w:val="21"/>
                <w:highlight w:val="none"/>
              </w:rPr>
              <w:t>服务</w:t>
            </w:r>
          </w:p>
        </w:tc>
        <w:tc>
          <w:tcPr>
            <w:tcW w:w="5940" w:type="dxa"/>
            <w:tcBorders>
              <w:top w:val="nil"/>
              <w:left w:val="nil"/>
              <w:bottom w:val="single" w:color="auto" w:sz="4" w:space="0"/>
              <w:right w:val="single" w:color="auto" w:sz="4" w:space="0"/>
            </w:tcBorders>
            <w:shd w:val="clear" w:color="auto" w:fill="auto"/>
            <w:vAlign w:val="center"/>
          </w:tcPr>
          <w:p w14:paraId="4E0F50C5">
            <w:pPr>
              <w:widowControl/>
              <w:kinsoku/>
              <w:wordWrap/>
              <w:overflowPunct/>
              <w:topLinePunct w:val="0"/>
              <w:autoSpaceDE/>
              <w:autoSpaceDN/>
              <w:bidi w:val="0"/>
              <w:spacing w:line="240" w:lineRule="auto"/>
              <w:ind w:firstLine="0" w:firstLineChars="0"/>
              <w:jc w:val="both"/>
              <w:rPr>
                <w:rFonts w:hint="eastAsia" w:ascii="宋体" w:hAnsi="宋体" w:eastAsia="宋体" w:cs="宋体"/>
                <w:kern w:val="0"/>
                <w:sz w:val="21"/>
                <w:szCs w:val="21"/>
                <w:highlight w:val="none"/>
                <w:lang w:eastAsia="zh-CN"/>
              </w:rPr>
            </w:pPr>
            <w:r>
              <w:rPr>
                <w:rFonts w:hint="eastAsia" w:ascii="宋体" w:hAnsi="宋体" w:cs="宋体"/>
                <w:kern w:val="0"/>
                <w:sz w:val="21"/>
                <w:szCs w:val="21"/>
                <w:highlight w:val="none"/>
                <w:lang w:val="en-US" w:eastAsia="zh-CN"/>
              </w:rPr>
              <w:t>2台。</w:t>
            </w:r>
            <w:r>
              <w:rPr>
                <w:rFonts w:hint="eastAsia" w:ascii="宋体" w:hAnsi="宋体" w:cs="宋体"/>
                <w:kern w:val="0"/>
                <w:sz w:val="21"/>
                <w:szCs w:val="21"/>
                <w:highlight w:val="none"/>
              </w:rPr>
              <w:t>双电源。</w:t>
            </w:r>
            <w:r>
              <w:rPr>
                <w:rFonts w:hint="eastAsia" w:ascii="宋体" w:hAnsi="宋体" w:cs="宋体"/>
                <w:color w:val="000000"/>
                <w:kern w:val="0"/>
                <w:szCs w:val="21"/>
                <w:lang w:bidi="ar"/>
              </w:rPr>
              <w:t>网络层吞吐量≥10Gb，应用层吞吐量≥1.5Gb，带宽性能≥1Gb，每秒新建连接数≥14000，最大并发连接数≥600000。</w:t>
            </w:r>
          </w:p>
        </w:tc>
      </w:tr>
      <w:tr w14:paraId="1801E5B1">
        <w:tblPrEx>
          <w:tblCellMar>
            <w:top w:w="0" w:type="dxa"/>
            <w:left w:w="108" w:type="dxa"/>
            <w:bottom w:w="0" w:type="dxa"/>
            <w:right w:w="108" w:type="dxa"/>
          </w:tblCellMar>
        </w:tblPrEx>
        <w:trPr>
          <w:trHeight w:val="601" w:hRule="atLeast"/>
          <w:jc w:val="center"/>
        </w:trPr>
        <w:tc>
          <w:tcPr>
            <w:tcW w:w="750" w:type="dxa"/>
            <w:tcBorders>
              <w:top w:val="nil"/>
              <w:left w:val="single" w:color="auto" w:sz="4" w:space="0"/>
              <w:bottom w:val="single" w:color="auto" w:sz="4" w:space="0"/>
              <w:right w:val="single" w:color="auto" w:sz="4" w:space="0"/>
            </w:tcBorders>
            <w:shd w:val="clear" w:color="auto" w:fill="auto"/>
            <w:vAlign w:val="center"/>
          </w:tcPr>
          <w:p w14:paraId="69555306">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5</w:t>
            </w:r>
          </w:p>
        </w:tc>
        <w:tc>
          <w:tcPr>
            <w:tcW w:w="2067" w:type="dxa"/>
            <w:tcBorders>
              <w:top w:val="nil"/>
              <w:left w:val="nil"/>
              <w:bottom w:val="single" w:color="auto" w:sz="4" w:space="0"/>
              <w:right w:val="single" w:color="auto" w:sz="4" w:space="0"/>
            </w:tcBorders>
            <w:shd w:val="clear" w:color="auto" w:fill="auto"/>
            <w:vAlign w:val="center"/>
          </w:tcPr>
          <w:p w14:paraId="75CFF110">
            <w:pPr>
              <w:widowControl/>
              <w:kinsoku/>
              <w:wordWrap/>
              <w:overflowPunct/>
              <w:topLinePunct w:val="0"/>
              <w:autoSpaceDE/>
              <w:autoSpaceDN/>
              <w:bidi w:val="0"/>
              <w:spacing w:line="240" w:lineRule="auto"/>
              <w:ind w:firstLine="0" w:firstLineChars="0"/>
              <w:jc w:val="both"/>
              <w:rPr>
                <w:rFonts w:ascii="宋体" w:hAnsi="宋体" w:cs="宋体"/>
                <w:kern w:val="0"/>
                <w:sz w:val="21"/>
                <w:szCs w:val="21"/>
                <w:highlight w:val="none"/>
              </w:rPr>
            </w:pPr>
            <w:r>
              <w:rPr>
                <w:rFonts w:hint="eastAsia" w:ascii="宋体" w:hAnsi="宋体" w:cs="宋体"/>
                <w:color w:val="000000"/>
                <w:kern w:val="0"/>
                <w:szCs w:val="21"/>
                <w:lang w:bidi="ar"/>
              </w:rPr>
              <w:t>内网上网行为管理</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8）租赁</w:t>
            </w:r>
            <w:r>
              <w:rPr>
                <w:rFonts w:hint="eastAsia" w:ascii="宋体" w:hAnsi="宋体" w:cs="宋体"/>
                <w:kern w:val="0"/>
                <w:sz w:val="21"/>
                <w:szCs w:val="21"/>
                <w:highlight w:val="none"/>
              </w:rPr>
              <w:t>服务</w:t>
            </w:r>
          </w:p>
        </w:tc>
        <w:tc>
          <w:tcPr>
            <w:tcW w:w="5940" w:type="dxa"/>
            <w:tcBorders>
              <w:top w:val="nil"/>
              <w:left w:val="nil"/>
              <w:bottom w:val="single" w:color="auto" w:sz="4" w:space="0"/>
              <w:right w:val="single" w:color="auto" w:sz="4" w:space="0"/>
            </w:tcBorders>
            <w:shd w:val="clear" w:color="auto" w:fill="auto"/>
            <w:vAlign w:val="center"/>
          </w:tcPr>
          <w:p w14:paraId="21AFF063">
            <w:pPr>
              <w:widowControl/>
              <w:kinsoku/>
              <w:wordWrap/>
              <w:overflowPunct/>
              <w:topLinePunct w:val="0"/>
              <w:autoSpaceDE/>
              <w:autoSpaceDN/>
              <w:bidi w:val="0"/>
              <w:spacing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lang w:val="en-US" w:eastAsia="zh-CN"/>
              </w:rPr>
              <w:t>1台。</w:t>
            </w:r>
            <w:r>
              <w:rPr>
                <w:rFonts w:hint="eastAsia" w:ascii="宋体" w:hAnsi="宋体" w:cs="宋体"/>
                <w:kern w:val="0"/>
                <w:sz w:val="21"/>
                <w:szCs w:val="21"/>
                <w:highlight w:val="none"/>
              </w:rPr>
              <w:t>双电源，</w:t>
            </w:r>
            <w:r>
              <w:rPr>
                <w:rFonts w:hint="eastAsia" w:ascii="宋体" w:hAnsi="宋体" w:cs="宋体"/>
                <w:color w:val="000000"/>
                <w:kern w:val="0"/>
                <w:szCs w:val="21"/>
                <w:lang w:bidi="ar"/>
              </w:rPr>
              <w:t>网络层吞吐量≥3.6Gb，应用层吞吐量≥450Mb，带宽性能≥300Mb，每秒新建连接数≥4000，最大并发连接数≥150000。</w:t>
            </w:r>
          </w:p>
        </w:tc>
      </w:tr>
      <w:tr w14:paraId="32C12FDE">
        <w:tblPrEx>
          <w:tblCellMar>
            <w:top w:w="0" w:type="dxa"/>
            <w:left w:w="108" w:type="dxa"/>
            <w:bottom w:w="0" w:type="dxa"/>
            <w:right w:w="108" w:type="dxa"/>
          </w:tblCellMar>
        </w:tblPrEx>
        <w:trPr>
          <w:trHeight w:val="2532"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8094065">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6</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326C2C56">
            <w:pPr>
              <w:widowControl/>
              <w:kinsoku/>
              <w:wordWrap/>
              <w:overflowPunct/>
              <w:topLinePunct w:val="0"/>
              <w:autoSpaceDE/>
              <w:autoSpaceDN/>
              <w:bidi w:val="0"/>
              <w:spacing w:line="240" w:lineRule="auto"/>
              <w:ind w:firstLine="0" w:firstLineChars="0"/>
              <w:jc w:val="both"/>
              <w:rPr>
                <w:rFonts w:hint="eastAsia" w:ascii="宋体" w:hAnsi="宋体" w:eastAsia="宋体" w:cs="宋体"/>
                <w:kern w:val="0"/>
                <w:sz w:val="21"/>
                <w:szCs w:val="21"/>
                <w:highlight w:val="none"/>
                <w:lang w:val="en-US" w:eastAsia="zh-CN"/>
              </w:rPr>
            </w:pPr>
            <w:r>
              <w:rPr>
                <w:rFonts w:hint="eastAsia" w:ascii="宋体" w:hAnsi="宋体" w:cs="宋体"/>
                <w:color w:val="auto"/>
                <w:kern w:val="0"/>
                <w:szCs w:val="21"/>
                <w:lang w:bidi="ar"/>
              </w:rPr>
              <w:t>零信任安全访问系统</w:t>
            </w:r>
            <w:r>
              <w:rPr>
                <w:rFonts w:hint="eastAsia" w:ascii="宋体" w:hAnsi="宋体" w:cs="宋体"/>
                <w:color w:val="auto"/>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9）租赁</w:t>
            </w:r>
            <w:r>
              <w:rPr>
                <w:rFonts w:hint="eastAsia" w:ascii="宋体" w:hAnsi="宋体" w:cs="宋体"/>
                <w:kern w:val="0"/>
                <w:sz w:val="21"/>
                <w:szCs w:val="21"/>
                <w:highlight w:val="none"/>
              </w:rPr>
              <w:t>服务</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center"/>
          </w:tcPr>
          <w:p w14:paraId="4E339992">
            <w:pPr>
              <w:widowControl/>
              <w:kinsoku/>
              <w:wordWrap/>
              <w:overflowPunct/>
              <w:topLinePunct w:val="0"/>
              <w:autoSpaceDE/>
              <w:autoSpaceDN/>
              <w:bidi w:val="0"/>
              <w:spacing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lang w:val="en-US" w:eastAsia="zh-CN"/>
              </w:rPr>
              <w:t>1套。替换符合国产化要求硬件平台。</w:t>
            </w:r>
            <w:r>
              <w:rPr>
                <w:rFonts w:hint="eastAsia" w:ascii="宋体" w:hAnsi="宋体" w:cs="宋体"/>
                <w:kern w:val="0"/>
                <w:sz w:val="21"/>
                <w:szCs w:val="21"/>
                <w:highlight w:val="none"/>
              </w:rPr>
              <w:t>提供安全运营平台软件基础功能</w:t>
            </w:r>
            <w:r>
              <w:rPr>
                <w:rFonts w:hint="eastAsia" w:ascii="宋体" w:hAnsi="宋体" w:cs="宋体"/>
                <w:kern w:val="0"/>
                <w:sz w:val="21"/>
                <w:szCs w:val="21"/>
                <w:highlight w:val="none"/>
                <w:lang w:eastAsia="zh-CN"/>
              </w:rPr>
              <w:t>（</w:t>
            </w:r>
            <w:r>
              <w:rPr>
                <w:rFonts w:hint="eastAsia" w:ascii="宋体" w:hAnsi="宋体" w:cs="宋体"/>
                <w:kern w:val="0"/>
                <w:sz w:val="21"/>
                <w:szCs w:val="21"/>
                <w:highlight w:val="none"/>
              </w:rPr>
              <w:t>含态势感知、工单系统、运营监管等</w:t>
            </w:r>
            <w:r>
              <w:rPr>
                <w:rFonts w:hint="eastAsia" w:ascii="宋体" w:hAnsi="宋体" w:cs="宋体"/>
                <w:kern w:val="0"/>
                <w:sz w:val="21"/>
                <w:szCs w:val="21"/>
                <w:highlight w:val="none"/>
                <w:lang w:eastAsia="zh-CN"/>
              </w:rPr>
              <w:t>）</w:t>
            </w:r>
            <w:r>
              <w:rPr>
                <w:rFonts w:hint="eastAsia" w:ascii="宋体" w:hAnsi="宋体" w:cs="宋体"/>
                <w:kern w:val="0"/>
                <w:sz w:val="21"/>
                <w:szCs w:val="21"/>
                <w:highlight w:val="none"/>
              </w:rPr>
              <w:t>，包含日志采集、报表、资产管理、威胁告警管理、风险评估、脆弱性管理、威胁预警、工单、调查分析-基础、调查分析-攻击链分析、搜索、态势首页、外部威胁态势感知、安全运营态势感知、资产风险态势感知、全网漏洞态势、知识库、系统管理功能。默认提供3台服务器集群节点安装授权。</w:t>
            </w:r>
          </w:p>
        </w:tc>
      </w:tr>
      <w:tr w14:paraId="7E35AB71">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D6AD4EE">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7</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4167C83A">
            <w:pPr>
              <w:widowControl/>
              <w:kinsoku/>
              <w:wordWrap/>
              <w:overflowPunct/>
              <w:topLinePunct w:val="0"/>
              <w:autoSpaceDE/>
              <w:autoSpaceDN/>
              <w:bidi w:val="0"/>
              <w:spacing w:line="240" w:lineRule="auto"/>
              <w:ind w:firstLine="0" w:firstLineChars="0"/>
              <w:jc w:val="both"/>
              <w:rPr>
                <w:rFonts w:hint="default" w:ascii="宋体" w:hAnsi="宋体" w:eastAsia="宋体" w:cs="宋体"/>
                <w:kern w:val="0"/>
                <w:sz w:val="21"/>
                <w:szCs w:val="21"/>
                <w:highlight w:val="none"/>
                <w:lang w:val="en-US" w:eastAsia="zh-CN"/>
              </w:rPr>
            </w:pPr>
            <w:r>
              <w:rPr>
                <w:rFonts w:hint="eastAsia" w:ascii="宋体" w:hAnsi="宋体" w:cs="宋体"/>
                <w:color w:val="000000"/>
                <w:kern w:val="0"/>
                <w:szCs w:val="21"/>
                <w:lang w:bidi="ar"/>
              </w:rPr>
              <w:t>数据库审计</w:t>
            </w:r>
            <w:r>
              <w:rPr>
                <w:rFonts w:hint="eastAsia" w:ascii="宋体" w:hAnsi="宋体" w:cs="宋体"/>
                <w:color w:val="000000"/>
                <w:kern w:val="0"/>
                <w:szCs w:val="21"/>
                <w:lang w:eastAsia="zh-CN" w:bidi="ar"/>
              </w:rPr>
              <w:t>（</w:t>
            </w:r>
            <w:r>
              <w:rPr>
                <w:rFonts w:hint="eastAsia" w:ascii="宋体" w:hAnsi="宋体" w:cs="宋体"/>
                <w:kern w:val="0"/>
                <w:sz w:val="21"/>
                <w:szCs w:val="21"/>
                <w:highlight w:val="none"/>
                <w:lang w:val="en-US" w:eastAsia="zh-CN"/>
              </w:rPr>
              <w:t>编号10）租赁服务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1BF42E6B">
            <w:pPr>
              <w:widowControl/>
              <w:kinsoku/>
              <w:wordWrap/>
              <w:overflowPunct/>
              <w:topLinePunct w:val="0"/>
              <w:autoSpaceDE/>
              <w:autoSpaceDN/>
              <w:bidi w:val="0"/>
              <w:spacing w:line="240" w:lineRule="auto"/>
              <w:ind w:firstLine="0" w:firstLineChars="0"/>
              <w:jc w:val="both"/>
              <w:rPr>
                <w:rFonts w:hint="eastAsia" w:ascii="宋体" w:hAnsi="宋体" w:cs="宋体"/>
                <w:kern w:val="0"/>
                <w:sz w:val="21"/>
                <w:szCs w:val="21"/>
                <w:highlight w:val="none"/>
                <w:lang w:val="en-US" w:eastAsia="zh-CN"/>
              </w:rPr>
            </w:pPr>
            <w:r>
              <w:rPr>
                <w:rFonts w:hint="eastAsia" w:ascii="宋体" w:hAnsi="宋体" w:cs="宋体"/>
                <w:kern w:val="0"/>
                <w:sz w:val="21"/>
                <w:szCs w:val="21"/>
                <w:highlight w:val="none"/>
                <w:lang w:val="en-US" w:eastAsia="zh-CN"/>
              </w:rPr>
              <w:t>1台，替换符合国产化要求硬件平台。</w:t>
            </w:r>
          </w:p>
          <w:p w14:paraId="08E5832C">
            <w:pPr>
              <w:pStyle w:val="9"/>
              <w:ind w:left="0" w:leftChars="0" w:firstLine="0" w:firstLineChars="0"/>
              <w:rPr>
                <w:rFonts w:hint="eastAsia" w:ascii="宋体" w:hAnsi="宋体" w:eastAsia="宋体" w:cs="宋体"/>
                <w:kern w:val="0"/>
                <w:sz w:val="21"/>
                <w:szCs w:val="21"/>
                <w:highlight w:val="none"/>
                <w:lang w:val="en-US" w:eastAsia="zh-CN"/>
              </w:rPr>
            </w:pPr>
            <w:r>
              <w:rPr>
                <w:rFonts w:hint="eastAsia" w:ascii="宋体" w:hAnsi="宋体" w:cs="宋体"/>
                <w:color w:val="000000"/>
                <w:kern w:val="0"/>
                <w:sz w:val="21"/>
                <w:szCs w:val="16"/>
                <w:lang w:bidi="ar"/>
              </w:rPr>
              <w:t>最大硬件吞吐量≥2Gbps，最大纯数据库流量≥400Mb/s，数据库实例个数≥30个，SQL处理性能≥30000条SQL/s，日志检索性能≥500000条/秒。内存≥8G，硬盘容量≥2T，电源：冗余电源。</w:t>
            </w:r>
          </w:p>
        </w:tc>
      </w:tr>
      <w:tr w14:paraId="73EA5CB5">
        <w:tblPrEx>
          <w:tblCellMar>
            <w:top w:w="0" w:type="dxa"/>
            <w:left w:w="108" w:type="dxa"/>
            <w:bottom w:w="0" w:type="dxa"/>
            <w:right w:w="108" w:type="dxa"/>
          </w:tblCellMar>
        </w:tblPrEx>
        <w:trPr>
          <w:trHeight w:val="27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13A0B3E">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8</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2469E9A6">
            <w:pPr>
              <w:widowControl/>
              <w:kinsoku/>
              <w:wordWrap/>
              <w:overflowPunct/>
              <w:topLinePunct w:val="0"/>
              <w:autoSpaceDE/>
              <w:autoSpaceDN/>
              <w:bidi w:val="0"/>
              <w:spacing w:line="240" w:lineRule="auto"/>
              <w:ind w:firstLine="0" w:firstLineChars="0"/>
              <w:jc w:val="both"/>
              <w:rPr>
                <w:rFonts w:hint="eastAsia" w:ascii="宋体" w:hAnsi="宋体" w:cs="宋体"/>
                <w:kern w:val="0"/>
                <w:sz w:val="21"/>
                <w:szCs w:val="21"/>
                <w:highlight w:val="none"/>
                <w:lang w:val="en-US" w:eastAsia="zh-CN"/>
              </w:rPr>
            </w:pPr>
            <w:r>
              <w:rPr>
                <w:rFonts w:hint="eastAsia" w:ascii="宋体" w:hAnsi="宋体" w:cs="宋体"/>
                <w:color w:val="000000"/>
                <w:kern w:val="0"/>
                <w:szCs w:val="21"/>
                <w:lang w:bidi="ar"/>
              </w:rPr>
              <w:t>日志审计</w:t>
            </w:r>
            <w:r>
              <w:rPr>
                <w:rFonts w:hint="eastAsia" w:ascii="宋体" w:hAnsi="宋体" w:cs="宋体"/>
                <w:color w:val="000000"/>
                <w:kern w:val="0"/>
                <w:szCs w:val="21"/>
                <w:lang w:eastAsia="zh-CN" w:bidi="ar"/>
              </w:rPr>
              <w:t>（</w:t>
            </w:r>
            <w:r>
              <w:rPr>
                <w:rFonts w:hint="eastAsia" w:ascii="宋体" w:hAnsi="宋体" w:cs="宋体"/>
                <w:kern w:val="0"/>
                <w:sz w:val="21"/>
                <w:szCs w:val="21"/>
                <w:highlight w:val="none"/>
                <w:lang w:val="en-US" w:eastAsia="zh-CN"/>
              </w:rPr>
              <w:t>编号11）租赁</w:t>
            </w:r>
            <w:r>
              <w:rPr>
                <w:rFonts w:hint="eastAsia" w:ascii="宋体" w:hAnsi="宋体" w:cs="宋体"/>
                <w:sz w:val="21"/>
                <w:szCs w:val="21"/>
                <w:highlight w:val="none"/>
                <w:lang w:val="en-US" w:eastAsia="zh-CN"/>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40133024">
            <w:pPr>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default" w:ascii="宋体" w:hAnsi="宋体" w:cs="宋体"/>
                <w:kern w:val="0"/>
                <w:sz w:val="21"/>
                <w:szCs w:val="21"/>
                <w:highlight w:val="none"/>
                <w:lang w:val="en-US" w:eastAsia="zh-CN"/>
              </w:rPr>
            </w:pPr>
            <w:r>
              <w:rPr>
                <w:rFonts w:hint="eastAsia" w:ascii="宋体" w:hAnsi="宋体" w:cs="宋体"/>
                <w:color w:val="000000"/>
                <w:kern w:val="0"/>
                <w:szCs w:val="21"/>
                <w:highlight w:val="none"/>
                <w:lang w:val="en-US" w:eastAsia="zh-CN" w:bidi="ar"/>
              </w:rPr>
              <w:t>1台，</w:t>
            </w:r>
            <w:r>
              <w:rPr>
                <w:rFonts w:hint="eastAsia" w:ascii="宋体" w:hAnsi="宋体" w:cs="宋体"/>
                <w:color w:val="000000"/>
                <w:kern w:val="0"/>
                <w:szCs w:val="21"/>
                <w:highlight w:val="none"/>
                <w:lang w:bidi="ar"/>
              </w:rPr>
              <w:t>主机审计许可证书数量≥</w:t>
            </w:r>
            <w:r>
              <w:rPr>
                <w:rFonts w:hint="eastAsia" w:ascii="宋体" w:hAnsi="宋体" w:cs="宋体"/>
                <w:color w:val="000000"/>
                <w:kern w:val="0"/>
                <w:szCs w:val="21"/>
                <w:highlight w:val="none"/>
                <w:lang w:val="en-US" w:eastAsia="zh-CN" w:bidi="ar"/>
              </w:rPr>
              <w:t>20</w:t>
            </w:r>
            <w:r>
              <w:rPr>
                <w:rFonts w:hint="eastAsia" w:ascii="宋体" w:hAnsi="宋体" w:cs="宋体"/>
                <w:color w:val="000000"/>
                <w:kern w:val="0"/>
                <w:szCs w:val="21"/>
                <w:highlight w:val="none"/>
                <w:lang w:bidi="ar"/>
              </w:rPr>
              <w:t>0，最大可扩展审计主机许可数≥</w:t>
            </w:r>
            <w:r>
              <w:rPr>
                <w:rFonts w:hint="eastAsia" w:ascii="宋体" w:hAnsi="宋体" w:cs="宋体"/>
                <w:color w:val="000000"/>
                <w:kern w:val="0"/>
                <w:szCs w:val="21"/>
                <w:highlight w:val="none"/>
                <w:lang w:val="en-US" w:eastAsia="zh-CN" w:bidi="ar"/>
              </w:rPr>
              <w:t>4</w:t>
            </w:r>
            <w:r>
              <w:rPr>
                <w:rFonts w:hint="eastAsia" w:ascii="宋体" w:hAnsi="宋体" w:cs="宋体"/>
                <w:color w:val="000000"/>
                <w:kern w:val="0"/>
                <w:szCs w:val="21"/>
                <w:highlight w:val="none"/>
                <w:lang w:bidi="ar"/>
              </w:rPr>
              <w:t>50，可用存储量≥</w:t>
            </w:r>
            <w:r>
              <w:rPr>
                <w:rFonts w:hint="eastAsia" w:ascii="宋体" w:hAnsi="宋体" w:cs="宋体"/>
                <w:color w:val="000000"/>
                <w:kern w:val="0"/>
                <w:szCs w:val="21"/>
                <w:highlight w:val="none"/>
                <w:lang w:val="en-US" w:eastAsia="zh-CN" w:bidi="ar"/>
              </w:rPr>
              <w:t>4</w:t>
            </w:r>
            <w:r>
              <w:rPr>
                <w:rFonts w:hint="eastAsia" w:ascii="宋体" w:hAnsi="宋体" w:cs="宋体"/>
                <w:color w:val="000000"/>
                <w:kern w:val="0"/>
                <w:szCs w:val="21"/>
                <w:highlight w:val="none"/>
                <w:lang w:bidi="ar"/>
              </w:rPr>
              <w:t>TB，平均每秒处理日志数（eps）最大性能≥</w:t>
            </w:r>
            <w:r>
              <w:rPr>
                <w:rFonts w:hint="eastAsia" w:ascii="宋体" w:hAnsi="宋体" w:cs="宋体"/>
                <w:color w:val="000000"/>
                <w:kern w:val="0"/>
                <w:szCs w:val="21"/>
                <w:highlight w:val="none"/>
                <w:lang w:val="en-US" w:eastAsia="zh-CN" w:bidi="ar"/>
              </w:rPr>
              <w:t>3</w:t>
            </w:r>
            <w:r>
              <w:rPr>
                <w:rFonts w:hint="eastAsia" w:ascii="宋体" w:hAnsi="宋体" w:cs="宋体"/>
                <w:color w:val="000000"/>
                <w:kern w:val="0"/>
                <w:szCs w:val="21"/>
                <w:highlight w:val="none"/>
                <w:lang w:bidi="ar"/>
              </w:rPr>
              <w:t>500。规格：2U，内存≥</w:t>
            </w:r>
            <w:r>
              <w:rPr>
                <w:rFonts w:hint="eastAsia" w:ascii="宋体" w:hAnsi="宋体" w:cs="宋体"/>
                <w:color w:val="000000"/>
                <w:kern w:val="0"/>
                <w:szCs w:val="21"/>
                <w:highlight w:val="none"/>
                <w:lang w:val="en-US" w:eastAsia="zh-CN" w:bidi="ar"/>
              </w:rPr>
              <w:t>32</w:t>
            </w:r>
            <w:r>
              <w:rPr>
                <w:rFonts w:hint="eastAsia" w:ascii="宋体" w:hAnsi="宋体" w:cs="宋体"/>
                <w:color w:val="000000"/>
                <w:kern w:val="0"/>
                <w:szCs w:val="21"/>
                <w:highlight w:val="none"/>
                <w:lang w:bidi="ar"/>
              </w:rPr>
              <w:t>G</w:t>
            </w:r>
            <w:r>
              <w:rPr>
                <w:rFonts w:hint="eastAsia" w:ascii="宋体" w:hAnsi="宋体" w:cs="宋体"/>
                <w:color w:val="000000"/>
                <w:kern w:val="0"/>
                <w:szCs w:val="21"/>
                <w:lang w:bidi="ar"/>
              </w:rPr>
              <w:t>。</w:t>
            </w:r>
          </w:p>
        </w:tc>
      </w:tr>
      <w:tr w14:paraId="2B55EBE7">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28AEFEA">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9</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25E35739">
            <w:pPr>
              <w:pStyle w:val="22"/>
              <w:widowControl/>
              <w:kinsoku/>
              <w:wordWrap/>
              <w:overflowPunct/>
              <w:topLinePunct w:val="0"/>
              <w:autoSpaceDE/>
              <w:autoSpaceDN/>
              <w:bidi w:val="0"/>
              <w:spacing w:line="240" w:lineRule="auto"/>
              <w:ind w:left="0" w:leftChars="0" w:firstLine="0" w:firstLineChars="0"/>
              <w:jc w:val="both"/>
              <w:outlineLvl w:val="4"/>
              <w:rPr>
                <w:rFonts w:hint="eastAsia" w:ascii="宋体" w:hAnsi="宋体" w:eastAsia="宋体" w:cs="宋体"/>
                <w:sz w:val="21"/>
                <w:szCs w:val="21"/>
                <w:highlight w:val="none"/>
                <w:lang w:val="en-US" w:eastAsia="zh-CN"/>
              </w:rPr>
            </w:pPr>
            <w:r>
              <w:rPr>
                <w:rFonts w:hint="eastAsia" w:ascii="宋体" w:hAnsi="宋体" w:cs="宋体"/>
                <w:color w:val="000000"/>
                <w:kern w:val="0"/>
                <w:szCs w:val="21"/>
                <w:lang w:bidi="ar"/>
              </w:rPr>
              <w:t>堡垒机</w:t>
            </w:r>
            <w:r>
              <w:rPr>
                <w:rFonts w:hint="eastAsia" w:ascii="宋体" w:hAnsi="宋体" w:cs="宋体"/>
                <w:color w:val="000000"/>
                <w:kern w:val="0"/>
                <w:szCs w:val="21"/>
                <w:lang w:eastAsia="zh-CN" w:bidi="ar"/>
              </w:rPr>
              <w:t>（</w:t>
            </w:r>
            <w:r>
              <w:rPr>
                <w:rFonts w:hint="eastAsia" w:ascii="宋体" w:hAnsi="宋体" w:cs="宋体"/>
                <w:kern w:val="0"/>
                <w:sz w:val="21"/>
                <w:szCs w:val="21"/>
                <w:highlight w:val="none"/>
                <w:lang w:val="en-US" w:eastAsia="zh-CN"/>
              </w:rPr>
              <w:t>编号12）租赁</w:t>
            </w:r>
            <w:r>
              <w:rPr>
                <w:rFonts w:hint="eastAsia" w:ascii="宋体" w:hAnsi="宋体" w:cs="宋体"/>
                <w:sz w:val="21"/>
                <w:szCs w:val="21"/>
                <w:highlight w:val="none"/>
                <w:lang w:val="en-US" w:eastAsia="zh-CN"/>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737C33E0">
            <w:pPr>
              <w:kinsoku/>
              <w:wordWrap/>
              <w:overflowPunct/>
              <w:topLinePunct w:val="0"/>
              <w:autoSpaceDE/>
              <w:autoSpaceDN/>
              <w:bidi w:val="0"/>
              <w:spacing w:line="240" w:lineRule="auto"/>
              <w:ind w:left="0" w:leftChars="0" w:firstLine="0" w:firstLineChars="0"/>
              <w:rPr>
                <w:rFonts w:hint="eastAsia" w:ascii="宋体" w:hAnsi="宋体" w:eastAsia="宋体" w:cs="宋体"/>
                <w:sz w:val="21"/>
                <w:szCs w:val="21"/>
                <w:highlight w:val="none"/>
                <w:lang w:val="en-US" w:eastAsia="zh-CN"/>
              </w:rPr>
            </w:pP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运维授权数≥</w:t>
            </w:r>
            <w:r>
              <w:rPr>
                <w:rFonts w:hint="eastAsia" w:ascii="宋体" w:hAnsi="宋体" w:cs="宋体"/>
                <w:color w:val="000000"/>
                <w:kern w:val="0"/>
                <w:szCs w:val="21"/>
                <w:lang w:val="en-US" w:eastAsia="zh-CN" w:bidi="ar"/>
              </w:rPr>
              <w:t>20</w:t>
            </w:r>
            <w:r>
              <w:rPr>
                <w:rFonts w:hint="eastAsia" w:ascii="宋体" w:hAnsi="宋体" w:cs="宋体"/>
                <w:color w:val="000000"/>
                <w:kern w:val="0"/>
                <w:szCs w:val="21"/>
                <w:lang w:bidi="ar"/>
              </w:rPr>
              <w:t>0，最大可扩展资产数≥</w:t>
            </w:r>
            <w:r>
              <w:rPr>
                <w:rFonts w:hint="eastAsia" w:ascii="宋体" w:hAnsi="宋体" w:cs="宋体"/>
                <w:color w:val="000000"/>
                <w:kern w:val="0"/>
                <w:szCs w:val="21"/>
                <w:lang w:val="en-US" w:eastAsia="zh-CN" w:bidi="ar"/>
              </w:rPr>
              <w:t>100</w:t>
            </w:r>
            <w:r>
              <w:rPr>
                <w:rFonts w:hint="eastAsia" w:ascii="宋体" w:hAnsi="宋体" w:cs="宋体"/>
                <w:color w:val="000000"/>
                <w:kern w:val="0"/>
                <w:szCs w:val="21"/>
                <w:lang w:bidi="ar"/>
              </w:rPr>
              <w:t>0，图形运维最大并发数≥</w:t>
            </w:r>
            <w:r>
              <w:rPr>
                <w:rFonts w:hint="eastAsia" w:ascii="宋体" w:hAnsi="宋体" w:cs="宋体"/>
                <w:color w:val="000000"/>
                <w:kern w:val="0"/>
                <w:szCs w:val="21"/>
                <w:lang w:val="en-US" w:eastAsia="zh-CN" w:bidi="ar"/>
              </w:rPr>
              <w:t>2</w:t>
            </w:r>
            <w:r>
              <w:rPr>
                <w:rFonts w:hint="eastAsia" w:ascii="宋体" w:hAnsi="宋体" w:cs="宋体"/>
                <w:color w:val="000000"/>
                <w:kern w:val="0"/>
                <w:szCs w:val="21"/>
                <w:lang w:bidi="ar"/>
              </w:rPr>
              <w:t>00，字符运维最大并发数≥</w:t>
            </w:r>
            <w:r>
              <w:rPr>
                <w:rFonts w:hint="eastAsia" w:ascii="宋体" w:hAnsi="宋体" w:cs="宋体"/>
                <w:color w:val="000000"/>
                <w:kern w:val="0"/>
                <w:szCs w:val="21"/>
                <w:lang w:val="en-US" w:eastAsia="zh-CN" w:bidi="ar"/>
              </w:rPr>
              <w:t>35</w:t>
            </w:r>
            <w:r>
              <w:rPr>
                <w:rFonts w:hint="eastAsia" w:ascii="宋体" w:hAnsi="宋体" w:cs="宋体"/>
                <w:color w:val="000000"/>
                <w:kern w:val="0"/>
                <w:szCs w:val="21"/>
                <w:lang w:bidi="ar"/>
              </w:rPr>
              <w:t>0，硬盘容量≥2T 。</w:t>
            </w:r>
          </w:p>
        </w:tc>
      </w:tr>
      <w:tr w14:paraId="082F9FED">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89A0DB9">
            <w:pPr>
              <w:widowControl/>
              <w:kinsoku/>
              <w:wordWrap/>
              <w:overflowPunct/>
              <w:topLinePunct w:val="0"/>
              <w:autoSpaceDE/>
              <w:autoSpaceDN/>
              <w:bidi w:val="0"/>
              <w:spacing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10</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5273F6B9">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eastAsia="宋体" w:cs="宋体"/>
                <w:sz w:val="21"/>
                <w:szCs w:val="21"/>
                <w:highlight w:val="none"/>
                <w:lang w:val="en-US" w:eastAsia="zh-CN"/>
              </w:rPr>
            </w:pPr>
            <w:r>
              <w:rPr>
                <w:rFonts w:hint="eastAsia" w:ascii="宋体" w:hAnsi="宋体" w:eastAsia="宋体" w:cs="宋体"/>
                <w:b w:val="0"/>
                <w:bCs w:val="0"/>
                <w:color w:val="000000"/>
                <w:sz w:val="21"/>
                <w:szCs w:val="21"/>
                <w:highlight w:val="none"/>
              </w:rPr>
              <w:t>网闸</w:t>
            </w:r>
            <w:r>
              <w:rPr>
                <w:rFonts w:hint="eastAsia" w:ascii="宋体" w:hAnsi="宋体" w:eastAsia="宋体" w:cs="宋体"/>
                <w:b w:val="0"/>
                <w:bCs w:val="0"/>
                <w:color w:val="000000"/>
                <w:sz w:val="21"/>
                <w:szCs w:val="21"/>
                <w:highlight w:val="none"/>
                <w:lang w:eastAsia="zh-CN"/>
              </w:rPr>
              <w:t>（</w:t>
            </w:r>
            <w:r>
              <w:rPr>
                <w:rFonts w:hint="eastAsia" w:ascii="宋体" w:hAnsi="宋体" w:cs="宋体"/>
                <w:kern w:val="0"/>
                <w:sz w:val="21"/>
                <w:szCs w:val="21"/>
                <w:highlight w:val="none"/>
                <w:lang w:val="en-US" w:eastAsia="zh-CN"/>
              </w:rPr>
              <w:t>编号13-14）租赁</w:t>
            </w:r>
            <w:r>
              <w:rPr>
                <w:rFonts w:hint="eastAsia" w:ascii="宋体" w:hAnsi="宋体" w:cs="宋体"/>
                <w:sz w:val="21"/>
                <w:szCs w:val="21"/>
                <w:highlight w:val="none"/>
                <w:lang w:val="en-US" w:eastAsia="zh-CN"/>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5F8E34AF">
            <w:pPr>
              <w:kinsoku/>
              <w:wordWrap/>
              <w:overflowPunct/>
              <w:topLinePunct w:val="0"/>
              <w:autoSpaceDE/>
              <w:autoSpaceDN/>
              <w:bidi w:val="0"/>
              <w:spacing w:line="240" w:lineRule="auto"/>
              <w:ind w:left="0" w:leftChars="0" w:firstLine="0" w:firstLineChars="0"/>
              <w:rPr>
                <w:rFonts w:hint="eastAsia" w:ascii="宋体" w:hAnsi="宋体" w:cs="宋体"/>
                <w:sz w:val="21"/>
                <w:szCs w:val="21"/>
                <w:highlight w:val="none"/>
                <w:lang w:val="en-US" w:eastAsia="zh-CN"/>
              </w:rPr>
            </w:pPr>
            <w:r>
              <w:rPr>
                <w:rFonts w:hint="eastAsia" w:ascii="宋体" w:hAnsi="宋体" w:cs="宋体"/>
                <w:szCs w:val="21"/>
                <w:highlight w:val="none"/>
                <w:lang w:val="en-US" w:eastAsia="zh-CN"/>
              </w:rPr>
              <w:t>2台，</w:t>
            </w:r>
            <w:r>
              <w:rPr>
                <w:rFonts w:hint="eastAsia" w:ascii="宋体" w:hAnsi="宋体" w:cs="宋体"/>
                <w:color w:val="000000"/>
                <w:kern w:val="0"/>
                <w:szCs w:val="21"/>
                <w:lang w:bidi="ar"/>
              </w:rPr>
              <w:t>吞吐量≥1Gbps，并发连接数≥10W，2U设备，冗余电源。</w:t>
            </w:r>
            <w:r>
              <w:rPr>
                <w:rFonts w:hint="eastAsia" w:ascii="宋体" w:hAnsi="宋体" w:eastAsia="宋体" w:cs="宋体"/>
                <w:szCs w:val="21"/>
                <w:highlight w:val="none"/>
              </w:rPr>
              <w:t>支持http消息头、消息体，上下行方向，命令及关键字的管控，支持允许、阻断、告警三种处理方式。</w:t>
            </w:r>
          </w:p>
        </w:tc>
      </w:tr>
      <w:tr w14:paraId="0757486C">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529571E">
            <w:pPr>
              <w:widowControl/>
              <w:kinsoku/>
              <w:wordWrap/>
              <w:overflowPunct/>
              <w:topLinePunct w:val="0"/>
              <w:autoSpaceDE/>
              <w:autoSpaceDN/>
              <w:bidi w:val="0"/>
              <w:spacing w:line="240" w:lineRule="auto"/>
              <w:ind w:firstLine="0" w:firstLineChars="0"/>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11</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7B6560A4">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eastAsia="宋体" w:cs="宋体"/>
                <w:b w:val="0"/>
                <w:bCs w:val="0"/>
                <w:color w:val="000000"/>
                <w:sz w:val="21"/>
                <w:szCs w:val="21"/>
                <w:highlight w:val="none"/>
              </w:rPr>
            </w:pPr>
            <w:r>
              <w:rPr>
                <w:rFonts w:hint="eastAsia" w:ascii="宋体" w:hAnsi="宋体" w:cs="宋体"/>
                <w:color w:val="000000"/>
                <w:kern w:val="0"/>
                <w:szCs w:val="21"/>
                <w:lang w:bidi="ar"/>
              </w:rPr>
              <w:t>物联网与网络安全监测响应平台</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15）租赁</w:t>
            </w:r>
            <w:r>
              <w:rPr>
                <w:rFonts w:hint="eastAsia" w:ascii="宋体" w:hAnsi="宋体" w:cs="宋体"/>
                <w:kern w:val="0"/>
                <w:sz w:val="21"/>
                <w:szCs w:val="21"/>
                <w:highlight w:val="none"/>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5C5B0334">
            <w:pPr>
              <w:kinsoku/>
              <w:wordWrap/>
              <w:overflowPunct/>
              <w:topLinePunct w:val="0"/>
              <w:autoSpaceDE/>
              <w:autoSpaceDN/>
              <w:bidi w:val="0"/>
              <w:spacing w:line="240" w:lineRule="auto"/>
              <w:ind w:left="0" w:leftChars="0" w:firstLine="0" w:firstLineChars="0"/>
              <w:rPr>
                <w:rFonts w:hint="eastAsia" w:ascii="宋体" w:hAnsi="宋体" w:cs="宋体"/>
                <w:szCs w:val="21"/>
                <w:highlight w:val="none"/>
                <w:lang w:val="en-US" w:eastAsia="zh-CN"/>
              </w:rPr>
            </w:pPr>
            <w:r>
              <w:rPr>
                <w:rFonts w:hint="eastAsia" w:ascii="宋体" w:hAnsi="宋体" w:cs="宋体"/>
                <w:color w:val="000000"/>
                <w:kern w:val="0"/>
                <w:szCs w:val="21"/>
                <w:lang w:val="en-US" w:eastAsia="zh-CN" w:bidi="ar"/>
              </w:rPr>
              <w:t>1台，</w:t>
            </w:r>
            <w:r>
              <w:rPr>
                <w:rFonts w:hint="eastAsia" w:ascii="宋体" w:hAnsi="宋体" w:cs="宋体"/>
                <w:color w:val="000000"/>
                <w:kern w:val="0"/>
                <w:szCs w:val="21"/>
                <w:lang w:bidi="ar"/>
              </w:rPr>
              <w:t>存储容量≥14.4T，内存≥96GB，数据盘≥4*4TB，电源：冗余电源。</w:t>
            </w:r>
          </w:p>
        </w:tc>
      </w:tr>
      <w:tr w14:paraId="703D445F">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CB78042">
            <w:pPr>
              <w:widowControl/>
              <w:kinsoku/>
              <w:wordWrap/>
              <w:overflowPunct/>
              <w:topLinePunct w:val="0"/>
              <w:autoSpaceDE/>
              <w:autoSpaceDN/>
              <w:bidi w:val="0"/>
              <w:spacing w:line="240" w:lineRule="auto"/>
              <w:ind w:firstLine="0" w:firstLineChars="0"/>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12</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4E9AB892">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cs="宋体"/>
                <w:color w:val="000000"/>
                <w:kern w:val="0"/>
                <w:szCs w:val="21"/>
                <w:lang w:bidi="ar"/>
              </w:rPr>
            </w:pPr>
            <w:r>
              <w:rPr>
                <w:rFonts w:hint="eastAsia" w:ascii="宋体" w:hAnsi="宋体" w:cs="宋体"/>
                <w:color w:val="000000"/>
                <w:kern w:val="0"/>
                <w:szCs w:val="21"/>
                <w:lang w:bidi="ar"/>
              </w:rPr>
              <w:t>流量采集探针</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16-17）租赁</w:t>
            </w:r>
            <w:r>
              <w:rPr>
                <w:rFonts w:hint="eastAsia" w:ascii="宋体" w:hAnsi="宋体" w:cs="宋体"/>
                <w:kern w:val="0"/>
                <w:sz w:val="21"/>
                <w:szCs w:val="21"/>
                <w:highlight w:val="none"/>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39FAED3E">
            <w:pPr>
              <w:kinsoku/>
              <w:wordWrap/>
              <w:overflowPunct/>
              <w:topLinePunct w:val="0"/>
              <w:autoSpaceDE/>
              <w:autoSpaceDN/>
              <w:bidi w:val="0"/>
              <w:spacing w:line="240" w:lineRule="auto"/>
              <w:ind w:left="0" w:leftChars="0" w:firstLine="0" w:firstLineChars="0"/>
              <w:rPr>
                <w:rFonts w:hint="eastAsia" w:ascii="宋体" w:hAnsi="宋体" w:cs="宋体"/>
                <w:szCs w:val="21"/>
                <w:highlight w:val="none"/>
                <w:lang w:val="en-US" w:eastAsia="zh-CN"/>
              </w:rPr>
            </w:pPr>
            <w:r>
              <w:rPr>
                <w:rFonts w:hint="eastAsia" w:ascii="宋体" w:hAnsi="宋体" w:cs="宋体"/>
                <w:color w:val="000000"/>
                <w:kern w:val="0"/>
                <w:szCs w:val="21"/>
                <w:lang w:val="en-US" w:eastAsia="zh-CN" w:bidi="ar"/>
              </w:rPr>
              <w:t>2台，</w:t>
            </w:r>
            <w:r>
              <w:rPr>
                <w:rFonts w:hint="eastAsia" w:ascii="宋体" w:hAnsi="宋体" w:cs="宋体"/>
                <w:color w:val="000000"/>
                <w:kern w:val="0"/>
                <w:szCs w:val="21"/>
                <w:lang w:bidi="ar"/>
              </w:rPr>
              <w:t>网络层吞吐量≥1.5Gbps，应用层吞吐量≥500Mbps。硬盘容量≥256GB SSD</w:t>
            </w:r>
            <w:r>
              <w:rPr>
                <w:rFonts w:hint="eastAsia" w:ascii="宋体" w:hAnsi="宋体" w:cs="宋体"/>
                <w:color w:val="000000"/>
                <w:kern w:val="0"/>
                <w:szCs w:val="21"/>
                <w:highlight w:val="none"/>
                <w:lang w:bidi="ar"/>
              </w:rPr>
              <w:t>。</w:t>
            </w:r>
          </w:p>
        </w:tc>
      </w:tr>
      <w:tr w14:paraId="67EB284E">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01807A9">
            <w:pPr>
              <w:widowControl/>
              <w:kinsoku/>
              <w:wordWrap/>
              <w:overflowPunct/>
              <w:topLinePunct w:val="0"/>
              <w:autoSpaceDE/>
              <w:autoSpaceDN/>
              <w:bidi w:val="0"/>
              <w:spacing w:line="240" w:lineRule="auto"/>
              <w:ind w:firstLine="0" w:firstLineChars="0"/>
              <w:jc w:val="center"/>
              <w:rPr>
                <w:rFonts w:hint="default" w:ascii="宋体" w:hAnsi="宋体" w:cs="宋体"/>
                <w:kern w:val="0"/>
                <w:sz w:val="21"/>
                <w:szCs w:val="21"/>
                <w:highlight w:val="none"/>
                <w:lang w:val="en-US" w:eastAsia="zh-CN"/>
              </w:rPr>
            </w:pPr>
            <w:r>
              <w:rPr>
                <w:rFonts w:hint="eastAsia" w:ascii="宋体" w:hAnsi="宋体" w:cs="宋体"/>
                <w:kern w:val="0"/>
                <w:sz w:val="21"/>
                <w:szCs w:val="21"/>
                <w:highlight w:val="none"/>
                <w:lang w:val="en-US" w:eastAsia="zh-CN"/>
              </w:rPr>
              <w:t>13</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4603C782">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cs="宋体"/>
                <w:color w:val="000000"/>
                <w:kern w:val="0"/>
                <w:szCs w:val="21"/>
                <w:lang w:bidi="ar"/>
              </w:rPr>
            </w:pPr>
            <w:r>
              <w:rPr>
                <w:rFonts w:hint="eastAsia" w:ascii="宋体" w:hAnsi="宋体" w:cs="宋体"/>
                <w:color w:val="000000"/>
                <w:kern w:val="0"/>
                <w:szCs w:val="21"/>
                <w:lang w:bidi="ar"/>
              </w:rPr>
              <w:t>终端安全管理平台</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18）租赁</w:t>
            </w:r>
            <w:r>
              <w:rPr>
                <w:rFonts w:hint="eastAsia" w:ascii="宋体" w:hAnsi="宋体" w:cs="宋体"/>
                <w:kern w:val="0"/>
                <w:sz w:val="21"/>
                <w:szCs w:val="21"/>
                <w:highlight w:val="none"/>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638F994D">
            <w:pPr>
              <w:kinsoku/>
              <w:wordWrap/>
              <w:overflowPunct/>
              <w:topLinePunct w:val="0"/>
              <w:autoSpaceDE/>
              <w:autoSpaceDN/>
              <w:bidi w:val="0"/>
              <w:spacing w:line="240" w:lineRule="auto"/>
              <w:ind w:left="0" w:leftChars="0" w:firstLine="0" w:firstLineChars="0"/>
              <w:rPr>
                <w:rFonts w:hint="eastAsia" w:ascii="宋体" w:hAnsi="宋体" w:eastAsia="宋体" w:cs="宋体"/>
                <w:szCs w:val="21"/>
                <w:highlight w:val="none"/>
                <w:lang w:val="en-US" w:eastAsia="zh-CN"/>
              </w:rPr>
            </w:pPr>
            <w:r>
              <w:rPr>
                <w:rFonts w:hint="eastAsia" w:ascii="宋体" w:hAnsi="宋体" w:cs="宋体"/>
                <w:color w:val="000000"/>
                <w:kern w:val="0"/>
                <w:szCs w:val="21"/>
                <w:lang w:val="en-US" w:eastAsia="zh-CN" w:bidi="ar"/>
              </w:rPr>
              <w:t>1套，</w:t>
            </w:r>
            <w:r>
              <w:rPr>
                <w:rFonts w:hint="eastAsia" w:ascii="宋体" w:hAnsi="宋体" w:cs="宋体"/>
                <w:color w:val="000000"/>
                <w:kern w:val="0"/>
                <w:szCs w:val="21"/>
                <w:lang w:bidi="ar"/>
              </w:rPr>
              <w:t>授权：</w:t>
            </w:r>
            <w:r>
              <w:rPr>
                <w:rFonts w:hint="eastAsia" w:ascii="宋体" w:hAnsi="宋体" w:cs="宋体"/>
                <w:color w:val="000000"/>
                <w:kern w:val="0"/>
                <w:szCs w:val="21"/>
                <w:highlight w:val="none"/>
                <w:lang w:bidi="ar"/>
              </w:rPr>
              <w:t>PC授权1</w:t>
            </w:r>
            <w:r>
              <w:rPr>
                <w:rFonts w:hint="eastAsia" w:ascii="宋体" w:hAnsi="宋体" w:cs="宋体"/>
                <w:color w:val="000000"/>
                <w:kern w:val="0"/>
                <w:szCs w:val="21"/>
                <w:highlight w:val="none"/>
                <w:lang w:val="en-US" w:eastAsia="zh-CN" w:bidi="ar"/>
              </w:rPr>
              <w:t>3</w:t>
            </w:r>
            <w:r>
              <w:rPr>
                <w:rFonts w:hint="eastAsia" w:ascii="宋体" w:hAnsi="宋体" w:cs="宋体"/>
                <w:color w:val="000000"/>
                <w:kern w:val="0"/>
                <w:szCs w:val="21"/>
                <w:highlight w:val="none"/>
                <w:lang w:bidi="ar"/>
              </w:rPr>
              <w:t>00个，服务器版授权</w:t>
            </w:r>
            <w:r>
              <w:rPr>
                <w:rFonts w:hint="eastAsia" w:ascii="宋体" w:hAnsi="宋体" w:cs="宋体"/>
                <w:color w:val="000000"/>
                <w:kern w:val="0"/>
                <w:szCs w:val="21"/>
                <w:highlight w:val="none"/>
                <w:lang w:val="en-US" w:eastAsia="zh-CN" w:bidi="ar"/>
              </w:rPr>
              <w:t>20</w:t>
            </w:r>
            <w:r>
              <w:rPr>
                <w:rFonts w:hint="eastAsia" w:ascii="宋体" w:hAnsi="宋体" w:cs="宋体"/>
                <w:color w:val="000000"/>
                <w:kern w:val="0"/>
                <w:szCs w:val="21"/>
                <w:highlight w:val="none"/>
                <w:lang w:bidi="ar"/>
              </w:rPr>
              <w:t>0个，</w:t>
            </w:r>
            <w:r>
              <w:rPr>
                <w:rFonts w:hint="eastAsia" w:ascii="宋体" w:hAnsi="宋体" w:cs="宋体"/>
                <w:color w:val="000000"/>
                <w:kern w:val="0"/>
                <w:szCs w:val="21"/>
                <w:lang w:bidi="ar"/>
              </w:rPr>
              <w:t>使用统一的控制平台管理</w:t>
            </w:r>
            <w:r>
              <w:rPr>
                <w:rFonts w:hint="eastAsia" w:ascii="宋体" w:hAnsi="宋体" w:cs="宋体"/>
                <w:color w:val="000000"/>
                <w:kern w:val="0"/>
                <w:szCs w:val="21"/>
                <w:lang w:eastAsia="zh-CN" w:bidi="ar"/>
              </w:rPr>
              <w:t>。</w:t>
            </w:r>
          </w:p>
        </w:tc>
      </w:tr>
      <w:tr w14:paraId="0BDA348D">
        <w:tblPrEx>
          <w:tblCellMar>
            <w:top w:w="0" w:type="dxa"/>
            <w:left w:w="108" w:type="dxa"/>
            <w:bottom w:w="0" w:type="dxa"/>
            <w:right w:w="108" w:type="dxa"/>
          </w:tblCellMar>
        </w:tblPrEx>
        <w:trPr>
          <w:trHeight w:val="33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FB9115E">
            <w:pPr>
              <w:widowControl/>
              <w:kinsoku/>
              <w:wordWrap/>
              <w:overflowPunct/>
              <w:topLinePunct w:val="0"/>
              <w:autoSpaceDE/>
              <w:autoSpaceDN/>
              <w:bidi w:val="0"/>
              <w:spacing w:line="240" w:lineRule="auto"/>
              <w:ind w:firstLine="0" w:firstLineChars="0"/>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14</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7CFEE654">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cs="宋体"/>
                <w:color w:val="000000"/>
                <w:kern w:val="0"/>
                <w:szCs w:val="21"/>
                <w:lang w:bidi="ar"/>
              </w:rPr>
            </w:pPr>
            <w:r>
              <w:rPr>
                <w:rFonts w:hint="eastAsia" w:ascii="宋体" w:hAnsi="宋体" w:cs="宋体"/>
                <w:color w:val="000000"/>
                <w:kern w:val="0"/>
                <w:szCs w:val="21"/>
                <w:lang w:bidi="ar"/>
              </w:rPr>
              <w:t>备份一体机</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19）租赁</w:t>
            </w:r>
            <w:r>
              <w:rPr>
                <w:rFonts w:hint="eastAsia" w:ascii="宋体" w:hAnsi="宋体" w:cs="宋体"/>
                <w:kern w:val="0"/>
                <w:sz w:val="21"/>
                <w:szCs w:val="21"/>
                <w:highlight w:val="none"/>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13BFEA19">
            <w:pPr>
              <w:kinsoku/>
              <w:wordWrap/>
              <w:overflowPunct/>
              <w:topLinePunct w:val="0"/>
              <w:autoSpaceDE/>
              <w:autoSpaceDN/>
              <w:bidi w:val="0"/>
              <w:spacing w:line="240" w:lineRule="auto"/>
              <w:ind w:left="0" w:leftChars="0" w:firstLine="0" w:firstLineChars="0"/>
              <w:rPr>
                <w:rFonts w:hint="eastAsia" w:ascii="宋体" w:hAnsi="宋体" w:cs="宋体"/>
                <w:color w:val="000000"/>
                <w:kern w:val="0"/>
                <w:szCs w:val="21"/>
              </w:rPr>
            </w:pPr>
            <w:r>
              <w:rPr>
                <w:rFonts w:hint="eastAsia" w:ascii="宋体" w:hAnsi="宋体" w:cs="宋体"/>
                <w:color w:val="000000"/>
                <w:kern w:val="0"/>
                <w:szCs w:val="21"/>
              </w:rPr>
              <w:t>1台</w:t>
            </w:r>
            <w:r>
              <w:rPr>
                <w:rFonts w:hint="eastAsia" w:ascii="宋体" w:hAnsi="宋体" w:cs="宋体"/>
                <w:color w:val="000000"/>
                <w:kern w:val="0"/>
                <w:szCs w:val="21"/>
                <w:lang w:eastAsia="zh-CN"/>
              </w:rPr>
              <w:t>，</w:t>
            </w:r>
            <w:r>
              <w:rPr>
                <w:rFonts w:hint="eastAsia" w:ascii="宋体" w:hAnsi="宋体" w:cs="宋体"/>
                <w:color w:val="000000"/>
                <w:kern w:val="0"/>
                <w:szCs w:val="21"/>
              </w:rPr>
              <w:t>硬件参数</w:t>
            </w:r>
            <w:r>
              <w:rPr>
                <w:rFonts w:hint="eastAsia" w:ascii="宋体" w:hAnsi="宋体" w:cs="宋体"/>
                <w:color w:val="000000"/>
                <w:kern w:val="0"/>
                <w:szCs w:val="21"/>
                <w:lang w:eastAsia="zh-CN"/>
              </w:rPr>
              <w:t>：</w:t>
            </w:r>
            <w:r>
              <w:rPr>
                <w:rFonts w:hint="eastAsia" w:ascii="宋体" w:hAnsi="宋体" w:cs="宋体"/>
                <w:color w:val="000000"/>
                <w:kern w:val="0"/>
                <w:szCs w:val="21"/>
              </w:rPr>
              <w:t>2U机架式备份软件专用存储服务器，12个3.5英寸盘位；</w:t>
            </w:r>
            <w:r>
              <w:rPr>
                <w:rFonts w:hint="eastAsia" w:ascii="宋体" w:hAnsi="宋体" w:cs="宋体"/>
                <w:color w:val="000000"/>
                <w:kern w:val="0"/>
                <w:szCs w:val="21"/>
              </w:rPr>
              <w:br w:type="textWrapping"/>
            </w:r>
            <w:r>
              <w:rPr>
                <w:rFonts w:hint="eastAsia" w:ascii="宋体" w:hAnsi="宋体" w:cs="宋体"/>
                <w:color w:val="000000"/>
                <w:kern w:val="0"/>
                <w:szCs w:val="21"/>
              </w:rPr>
              <w:t>2）CPU≥2颗Intel  4310 CPU（主频 2.1GHz，单颗 CPU 12 核）；</w:t>
            </w:r>
            <w:r>
              <w:rPr>
                <w:rFonts w:hint="eastAsia" w:ascii="宋体" w:hAnsi="宋体" w:cs="宋体"/>
                <w:color w:val="000000"/>
                <w:kern w:val="0"/>
                <w:szCs w:val="21"/>
              </w:rPr>
              <w:br w:type="textWrapping"/>
            </w:r>
            <w:r>
              <w:rPr>
                <w:rFonts w:hint="eastAsia" w:ascii="宋体" w:hAnsi="宋体" w:cs="宋体"/>
                <w:color w:val="000000"/>
                <w:kern w:val="0"/>
                <w:szCs w:val="21"/>
              </w:rPr>
              <w:t>3）内存≥ 64GB高速缓存；4）系统盘≥ 2块960G SSD</w:t>
            </w:r>
            <w:r>
              <w:rPr>
                <w:rFonts w:hint="eastAsia" w:ascii="宋体" w:hAnsi="宋体" w:cs="宋体"/>
                <w:color w:val="000000"/>
                <w:kern w:val="0"/>
                <w:szCs w:val="21"/>
                <w:lang w:eastAsia="zh-CN"/>
              </w:rPr>
              <w:t>；</w:t>
            </w:r>
            <w:r>
              <w:rPr>
                <w:rFonts w:hint="eastAsia" w:ascii="宋体" w:hAnsi="宋体" w:cs="宋体"/>
                <w:color w:val="000000"/>
                <w:kern w:val="0"/>
                <w:szCs w:val="21"/>
              </w:rPr>
              <w:t>5）数据盘≥100T可用存储空间；6）网络≥板载标配4个千兆网络端口和2个万兆光口（含光模块）；7）可支持不少于5个PCI扩展（包括8GB 16GB FC HBA卡，1GE或10GE网络接口卡）</w:t>
            </w:r>
            <w:r>
              <w:rPr>
                <w:rFonts w:hint="eastAsia" w:ascii="宋体" w:hAnsi="宋体" w:cs="宋体"/>
                <w:color w:val="000000"/>
                <w:kern w:val="0"/>
                <w:szCs w:val="21"/>
                <w:lang w:eastAsia="zh-CN"/>
              </w:rPr>
              <w:t>；</w:t>
            </w:r>
            <w:r>
              <w:rPr>
                <w:rFonts w:hint="eastAsia" w:ascii="宋体" w:hAnsi="宋体" w:cs="宋体"/>
                <w:color w:val="000000"/>
                <w:kern w:val="0"/>
                <w:szCs w:val="21"/>
              </w:rPr>
              <w:t>8）双冗余电源。</w:t>
            </w:r>
          </w:p>
          <w:p w14:paraId="72168C80">
            <w:pPr>
              <w:kinsoku/>
              <w:wordWrap/>
              <w:overflowPunct/>
              <w:topLinePunct w:val="0"/>
              <w:autoSpaceDE/>
              <w:autoSpaceDN/>
              <w:bidi w:val="0"/>
              <w:spacing w:line="240" w:lineRule="auto"/>
              <w:ind w:left="0" w:leftChars="0" w:firstLine="0" w:firstLineChars="0"/>
              <w:rPr>
                <w:rFonts w:hint="eastAsia" w:ascii="宋体" w:hAnsi="宋体" w:eastAsia="宋体" w:cs="宋体"/>
                <w:color w:val="000000"/>
                <w:kern w:val="0"/>
                <w:szCs w:val="21"/>
                <w:lang w:val="en-US" w:eastAsia="zh-CN"/>
              </w:rPr>
            </w:pPr>
            <w:r>
              <w:rPr>
                <w:rFonts w:hint="eastAsia" w:ascii="宋体" w:hAnsi="宋体" w:cs="宋体"/>
                <w:color w:val="000000"/>
                <w:kern w:val="0"/>
                <w:szCs w:val="21"/>
              </w:rPr>
              <w:t>授权配置</w:t>
            </w:r>
            <w:r>
              <w:rPr>
                <w:rFonts w:hint="eastAsia" w:ascii="宋体" w:hAnsi="宋体" w:cs="宋体"/>
                <w:color w:val="000000"/>
                <w:kern w:val="0"/>
                <w:szCs w:val="21"/>
                <w:lang w:val="en-US" w:eastAsia="zh-CN"/>
              </w:rPr>
              <w:t>参数</w:t>
            </w:r>
            <w:r>
              <w:rPr>
                <w:rFonts w:hint="eastAsia" w:ascii="宋体" w:hAnsi="宋体" w:cs="宋体"/>
                <w:color w:val="000000"/>
                <w:kern w:val="0"/>
                <w:szCs w:val="21"/>
                <w:lang w:eastAsia="zh-CN"/>
              </w:rPr>
              <w:t>：</w:t>
            </w:r>
            <w:r>
              <w:rPr>
                <w:rFonts w:hint="eastAsia" w:ascii="宋体" w:hAnsi="宋体" w:cs="宋体"/>
                <w:color w:val="000000"/>
                <w:kern w:val="0"/>
                <w:szCs w:val="21"/>
              </w:rPr>
              <w:t>1</w:t>
            </w:r>
            <w:r>
              <w:rPr>
                <w:rFonts w:hint="eastAsia" w:ascii="宋体" w:hAnsi="宋体" w:cs="宋体"/>
                <w:color w:val="000000"/>
                <w:kern w:val="0"/>
                <w:szCs w:val="21"/>
                <w:lang w:eastAsia="zh-CN"/>
              </w:rPr>
              <w:t>）</w:t>
            </w:r>
            <w:r>
              <w:rPr>
                <w:rFonts w:hint="eastAsia" w:ascii="宋体" w:hAnsi="宋体" w:cs="宋体"/>
                <w:color w:val="000000"/>
                <w:kern w:val="0"/>
                <w:szCs w:val="21"/>
              </w:rPr>
              <w:t>配置≥100T定时容量授权许可</w:t>
            </w:r>
            <w:r>
              <w:rPr>
                <w:rFonts w:hint="eastAsia" w:ascii="宋体" w:hAnsi="宋体" w:cs="宋体"/>
                <w:color w:val="000000"/>
                <w:kern w:val="0"/>
                <w:szCs w:val="21"/>
                <w:lang w:eastAsia="zh-CN"/>
              </w:rPr>
              <w:t>；</w:t>
            </w:r>
            <w:r>
              <w:rPr>
                <w:rFonts w:hint="eastAsia" w:ascii="宋体" w:hAnsi="宋体" w:cs="宋体"/>
                <w:color w:val="000000"/>
                <w:kern w:val="0"/>
                <w:szCs w:val="21"/>
              </w:rPr>
              <w:t>2</w:t>
            </w:r>
            <w:r>
              <w:rPr>
                <w:rFonts w:hint="eastAsia" w:ascii="宋体" w:hAnsi="宋体" w:cs="宋体"/>
                <w:color w:val="000000"/>
                <w:kern w:val="0"/>
                <w:szCs w:val="21"/>
                <w:lang w:eastAsia="zh-CN"/>
              </w:rPr>
              <w:t>）</w:t>
            </w:r>
            <w:r>
              <w:rPr>
                <w:rFonts w:hint="eastAsia" w:ascii="宋体" w:hAnsi="宋体" w:cs="宋体"/>
                <w:color w:val="000000"/>
                <w:kern w:val="0"/>
                <w:szCs w:val="21"/>
              </w:rPr>
              <w:t>配置不限备份客户端数量的永久增量备份代理授权许可</w:t>
            </w:r>
            <w:r>
              <w:rPr>
                <w:rFonts w:hint="eastAsia" w:ascii="宋体" w:hAnsi="宋体" w:cs="宋体"/>
                <w:color w:val="000000"/>
                <w:kern w:val="0"/>
                <w:szCs w:val="21"/>
                <w:lang w:eastAsia="zh-CN"/>
              </w:rPr>
              <w:t>；</w:t>
            </w:r>
            <w:r>
              <w:rPr>
                <w:rFonts w:hint="eastAsia" w:ascii="宋体" w:hAnsi="宋体" w:cs="宋体"/>
                <w:color w:val="000000"/>
                <w:kern w:val="0"/>
                <w:szCs w:val="21"/>
              </w:rPr>
              <w:t>3</w:t>
            </w:r>
            <w:r>
              <w:rPr>
                <w:rFonts w:hint="eastAsia" w:ascii="宋体" w:hAnsi="宋体" w:cs="宋体"/>
                <w:color w:val="000000"/>
                <w:kern w:val="0"/>
                <w:szCs w:val="21"/>
                <w:lang w:eastAsia="zh-CN"/>
              </w:rPr>
              <w:t>）</w:t>
            </w:r>
            <w:r>
              <w:rPr>
                <w:rFonts w:hint="eastAsia" w:ascii="宋体" w:hAnsi="宋体" w:cs="宋体"/>
                <w:color w:val="000000"/>
                <w:kern w:val="0"/>
                <w:szCs w:val="21"/>
              </w:rPr>
              <w:t>配置不限容量重复数据删除代理授权许可</w:t>
            </w:r>
            <w:r>
              <w:rPr>
                <w:rFonts w:hint="eastAsia" w:ascii="宋体" w:hAnsi="宋体" w:cs="宋体"/>
                <w:color w:val="000000"/>
                <w:kern w:val="0"/>
                <w:szCs w:val="21"/>
                <w:lang w:eastAsia="zh-CN"/>
              </w:rPr>
              <w:t>；</w:t>
            </w:r>
            <w:r>
              <w:rPr>
                <w:rFonts w:hint="eastAsia" w:ascii="宋体" w:hAnsi="宋体" w:cs="宋体"/>
                <w:color w:val="000000"/>
                <w:kern w:val="0"/>
                <w:szCs w:val="21"/>
              </w:rPr>
              <w:t>4</w:t>
            </w:r>
            <w:r>
              <w:rPr>
                <w:rFonts w:hint="eastAsia" w:ascii="宋体" w:hAnsi="宋体" w:cs="宋体"/>
                <w:color w:val="000000"/>
                <w:kern w:val="0"/>
                <w:szCs w:val="21"/>
                <w:lang w:eastAsia="zh-CN"/>
              </w:rPr>
              <w:t>）</w:t>
            </w:r>
            <w:r>
              <w:rPr>
                <w:rFonts w:hint="eastAsia" w:ascii="宋体" w:hAnsi="宋体" w:cs="宋体"/>
                <w:color w:val="000000"/>
                <w:kern w:val="0"/>
                <w:szCs w:val="21"/>
              </w:rPr>
              <w:t>配置CDP 持续数据保护场地授权代理许可</w:t>
            </w:r>
            <w:r>
              <w:rPr>
                <w:rFonts w:hint="eastAsia" w:ascii="宋体" w:hAnsi="宋体" w:cs="宋体"/>
                <w:color w:val="000000"/>
                <w:kern w:val="0"/>
                <w:szCs w:val="21"/>
                <w:lang w:eastAsia="zh-CN"/>
              </w:rPr>
              <w:t>；</w:t>
            </w:r>
            <w:r>
              <w:rPr>
                <w:rFonts w:hint="eastAsia" w:ascii="宋体" w:hAnsi="宋体" w:cs="宋体"/>
                <w:color w:val="000000"/>
                <w:kern w:val="0"/>
                <w:szCs w:val="21"/>
              </w:rPr>
              <w:t>5</w:t>
            </w:r>
            <w:r>
              <w:rPr>
                <w:rFonts w:hint="eastAsia" w:ascii="宋体" w:hAnsi="宋体" w:cs="宋体"/>
                <w:color w:val="000000"/>
                <w:kern w:val="0"/>
                <w:szCs w:val="21"/>
                <w:lang w:eastAsia="zh-CN"/>
              </w:rPr>
              <w:t>）</w:t>
            </w:r>
            <w:r>
              <w:rPr>
                <w:rFonts w:hint="eastAsia" w:ascii="宋体" w:hAnsi="宋体" w:cs="宋体"/>
                <w:color w:val="000000"/>
                <w:kern w:val="0"/>
                <w:szCs w:val="21"/>
              </w:rPr>
              <w:t>配置不限文件数量备份恢复功能</w:t>
            </w:r>
            <w:r>
              <w:rPr>
                <w:rFonts w:hint="eastAsia" w:ascii="宋体" w:hAnsi="宋体" w:cs="宋体"/>
                <w:color w:val="000000"/>
                <w:kern w:val="0"/>
                <w:szCs w:val="21"/>
                <w:lang w:eastAsia="zh-CN"/>
              </w:rPr>
              <w:t>；</w:t>
            </w:r>
            <w:r>
              <w:rPr>
                <w:rFonts w:hint="eastAsia" w:ascii="宋体" w:hAnsi="宋体" w:cs="宋体"/>
                <w:color w:val="000000"/>
                <w:kern w:val="0"/>
                <w:szCs w:val="21"/>
              </w:rPr>
              <w:t>6</w:t>
            </w:r>
            <w:r>
              <w:rPr>
                <w:rFonts w:hint="eastAsia" w:ascii="宋体" w:hAnsi="宋体" w:cs="宋体"/>
                <w:color w:val="000000"/>
                <w:kern w:val="0"/>
                <w:szCs w:val="21"/>
                <w:lang w:eastAsia="zh-CN"/>
              </w:rPr>
              <w:t>）</w:t>
            </w:r>
            <w:r>
              <w:rPr>
                <w:rFonts w:hint="eastAsia" w:ascii="宋体" w:hAnsi="宋体" w:cs="宋体"/>
                <w:color w:val="000000"/>
                <w:kern w:val="0"/>
                <w:szCs w:val="21"/>
              </w:rPr>
              <w:t>配置不限操作系统数量备份恢复功能</w:t>
            </w:r>
            <w:r>
              <w:rPr>
                <w:rFonts w:hint="eastAsia" w:ascii="宋体" w:hAnsi="宋体" w:cs="宋体"/>
                <w:color w:val="000000"/>
                <w:kern w:val="0"/>
                <w:szCs w:val="21"/>
                <w:lang w:eastAsia="zh-CN"/>
              </w:rPr>
              <w:t>。</w:t>
            </w:r>
          </w:p>
        </w:tc>
      </w:tr>
      <w:tr w14:paraId="5F6B7A2E">
        <w:tblPrEx>
          <w:tblCellMar>
            <w:top w:w="0" w:type="dxa"/>
            <w:left w:w="108" w:type="dxa"/>
            <w:bottom w:w="0" w:type="dxa"/>
            <w:right w:w="108" w:type="dxa"/>
          </w:tblCellMar>
        </w:tblPrEx>
        <w:trPr>
          <w:trHeight w:val="645" w:hRule="atLeast"/>
          <w:jc w:val="cent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26359D76">
            <w:pPr>
              <w:widowControl/>
              <w:kinsoku/>
              <w:wordWrap/>
              <w:overflowPunct/>
              <w:topLinePunct w:val="0"/>
              <w:autoSpaceDE/>
              <w:autoSpaceDN/>
              <w:bidi w:val="0"/>
              <w:spacing w:line="240" w:lineRule="auto"/>
              <w:ind w:firstLine="0" w:firstLineChars="0"/>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15</w:t>
            </w:r>
          </w:p>
        </w:tc>
        <w:tc>
          <w:tcPr>
            <w:tcW w:w="2067" w:type="dxa"/>
            <w:tcBorders>
              <w:top w:val="single" w:color="auto" w:sz="4" w:space="0"/>
              <w:left w:val="single" w:color="auto" w:sz="4" w:space="0"/>
              <w:bottom w:val="single" w:color="auto" w:sz="4" w:space="0"/>
              <w:right w:val="single" w:color="auto" w:sz="4" w:space="0"/>
            </w:tcBorders>
            <w:shd w:val="clear" w:color="auto" w:fill="auto"/>
            <w:vAlign w:val="center"/>
          </w:tcPr>
          <w:p w14:paraId="5EA7BEB0">
            <w:pPr>
              <w:pStyle w:val="22"/>
              <w:widowControl/>
              <w:kinsoku/>
              <w:wordWrap/>
              <w:overflowPunct/>
              <w:topLinePunct w:val="0"/>
              <w:autoSpaceDE/>
              <w:autoSpaceDN/>
              <w:bidi w:val="0"/>
              <w:adjustRightInd w:val="0"/>
              <w:snapToGrid w:val="0"/>
              <w:spacing w:afterLines="0" w:line="240" w:lineRule="auto"/>
              <w:ind w:left="0" w:leftChars="0" w:firstLine="0" w:firstLineChars="0"/>
              <w:jc w:val="left"/>
              <w:outlineLvl w:val="4"/>
              <w:rPr>
                <w:rFonts w:hint="eastAsia" w:ascii="宋体" w:hAnsi="宋体" w:cs="宋体"/>
                <w:color w:val="000000"/>
                <w:kern w:val="0"/>
                <w:szCs w:val="21"/>
                <w:lang w:bidi="ar"/>
              </w:rPr>
            </w:pPr>
            <w:r>
              <w:rPr>
                <w:rFonts w:hint="eastAsia" w:ascii="宋体" w:hAnsi="宋体" w:cs="宋体"/>
                <w:color w:val="000000"/>
                <w:kern w:val="0"/>
                <w:szCs w:val="21"/>
                <w:lang w:bidi="ar"/>
              </w:rPr>
              <w:t>网络管理平台</w:t>
            </w:r>
            <w:r>
              <w:rPr>
                <w:rFonts w:hint="eastAsia" w:ascii="宋体" w:hAnsi="宋体" w:cs="宋体"/>
                <w:color w:val="000000"/>
                <w:kern w:val="0"/>
                <w:szCs w:val="21"/>
                <w:lang w:eastAsia="zh-CN" w:bidi="ar"/>
              </w:rPr>
              <w:t>（</w:t>
            </w:r>
            <w:r>
              <w:rPr>
                <w:rFonts w:hint="eastAsia" w:ascii="宋体" w:hAnsi="宋体" w:cs="宋体"/>
                <w:kern w:val="0"/>
                <w:sz w:val="21"/>
                <w:szCs w:val="21"/>
                <w:highlight w:val="none"/>
              </w:rPr>
              <w:t>编号</w:t>
            </w:r>
            <w:r>
              <w:rPr>
                <w:rFonts w:hint="eastAsia" w:ascii="宋体" w:hAnsi="宋体" w:cs="宋体"/>
                <w:kern w:val="0"/>
                <w:sz w:val="21"/>
                <w:szCs w:val="21"/>
                <w:highlight w:val="none"/>
                <w:lang w:val="en-US" w:eastAsia="zh-CN"/>
              </w:rPr>
              <w:t>20）租赁</w:t>
            </w:r>
            <w:r>
              <w:rPr>
                <w:rFonts w:hint="eastAsia" w:ascii="宋体" w:hAnsi="宋体" w:cs="宋体"/>
                <w:kern w:val="0"/>
                <w:sz w:val="21"/>
                <w:szCs w:val="21"/>
                <w:highlight w:val="none"/>
              </w:rPr>
              <w:t>服务</w:t>
            </w:r>
          </w:p>
        </w:tc>
        <w:tc>
          <w:tcPr>
            <w:tcW w:w="5940" w:type="dxa"/>
            <w:tcBorders>
              <w:top w:val="single" w:color="auto" w:sz="4" w:space="0"/>
              <w:left w:val="nil"/>
              <w:bottom w:val="single" w:color="auto" w:sz="4" w:space="0"/>
              <w:right w:val="single" w:color="auto" w:sz="4" w:space="0"/>
            </w:tcBorders>
            <w:shd w:val="clear" w:color="auto" w:fill="auto"/>
            <w:vAlign w:val="center"/>
          </w:tcPr>
          <w:p w14:paraId="5B1E0FC1">
            <w:pPr>
              <w:kinsoku/>
              <w:wordWrap/>
              <w:overflowPunct/>
              <w:topLinePunct w:val="0"/>
              <w:autoSpaceDE/>
              <w:autoSpaceDN/>
              <w:bidi w:val="0"/>
              <w:spacing w:line="240" w:lineRule="auto"/>
              <w:ind w:left="0" w:leftChars="0" w:firstLine="0" w:firstLineChars="0"/>
              <w:rPr>
                <w:rFonts w:hint="eastAsia" w:ascii="宋体" w:hAnsi="宋体" w:cs="宋体"/>
                <w:szCs w:val="21"/>
                <w:highlight w:val="none"/>
                <w:lang w:val="en-US" w:eastAsia="zh-CN"/>
              </w:rPr>
            </w:pPr>
            <w:r>
              <w:rPr>
                <w:rFonts w:hint="eastAsia" w:ascii="宋体" w:hAnsi="宋体" w:cs="宋体"/>
                <w:color w:val="000000"/>
                <w:kern w:val="0"/>
                <w:szCs w:val="21"/>
                <w:lang w:val="en-US" w:eastAsia="zh-CN" w:bidi="ar"/>
              </w:rPr>
              <w:t>1套，</w:t>
            </w:r>
            <w:r>
              <w:rPr>
                <w:rFonts w:hint="eastAsia" w:ascii="宋体" w:hAnsi="宋体" w:cs="宋体"/>
                <w:color w:val="000000"/>
                <w:kern w:val="0"/>
                <w:szCs w:val="21"/>
                <w:lang w:bidi="ar"/>
              </w:rPr>
              <w:t>授权：包含</w:t>
            </w:r>
            <w:r>
              <w:rPr>
                <w:rFonts w:hint="eastAsia" w:ascii="宋体" w:hAnsi="宋体" w:cs="宋体"/>
                <w:color w:val="000000"/>
                <w:kern w:val="0"/>
                <w:szCs w:val="21"/>
                <w:lang w:val="en-US" w:eastAsia="zh-CN" w:bidi="ar"/>
              </w:rPr>
              <w:t>≥</w:t>
            </w:r>
            <w:r>
              <w:rPr>
                <w:rFonts w:hint="eastAsia" w:ascii="宋体" w:hAnsi="宋体" w:cs="宋体"/>
                <w:color w:val="000000"/>
                <w:kern w:val="0"/>
                <w:szCs w:val="21"/>
                <w:lang w:bidi="ar"/>
              </w:rPr>
              <w:t>100节点授权</w:t>
            </w:r>
          </w:p>
        </w:tc>
      </w:tr>
    </w:tbl>
    <w:p w14:paraId="049875DA">
      <w:pPr>
        <w:adjustRightInd w:val="0"/>
        <w:snapToGrid w:val="0"/>
        <w:spacing w:line="360" w:lineRule="auto"/>
        <w:ind w:firstLine="480" w:firstLineChars="200"/>
        <w:rPr>
          <w:rFonts w:hint="eastAsia" w:ascii="宋体" w:hAnsi="宋体" w:eastAsia="宋体" w:cs="宋体"/>
          <w:sz w:val="24"/>
          <w:szCs w:val="24"/>
          <w:highlight w:val="none"/>
          <w:lang w:val="en-US" w:eastAsia="zh-CN"/>
        </w:rPr>
      </w:pPr>
    </w:p>
    <w:p w14:paraId="35E2BB40">
      <w:pPr>
        <w:pStyle w:val="7"/>
        <w:adjustRightInd w:val="0"/>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2.网络安全运营服务</w:t>
      </w:r>
    </w:p>
    <w:p w14:paraId="5D053D49">
      <w:pPr>
        <w:adjustRightInd w:val="0"/>
        <w:snapToGrid w:val="0"/>
        <w:spacing w:line="360" w:lineRule="auto"/>
        <w:ind w:firstLine="480" w:firstLineChars="200"/>
        <w:jc w:val="left"/>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网络安全运营</w:t>
      </w:r>
      <w:r>
        <w:rPr>
          <w:rFonts w:hint="eastAsia" w:ascii="宋体" w:hAnsi="宋体" w:eastAsia="宋体" w:cs="宋体"/>
          <w:b w:val="0"/>
          <w:bCs w:val="0"/>
          <w:sz w:val="24"/>
          <w:szCs w:val="24"/>
          <w:highlight w:val="none"/>
          <w:lang w:val="en-GB"/>
        </w:rPr>
        <w:t>服务</w:t>
      </w:r>
      <w:r>
        <w:rPr>
          <w:rFonts w:hint="eastAsia" w:ascii="宋体" w:hAnsi="宋体" w:eastAsia="宋体" w:cs="宋体"/>
          <w:b w:val="0"/>
          <w:bCs w:val="0"/>
          <w:sz w:val="24"/>
          <w:szCs w:val="24"/>
          <w:highlight w:val="none"/>
          <w:lang w:val="en-GB" w:eastAsia="zh-CN"/>
        </w:rPr>
        <w:t>，包含安全咨询服务、安全评估服务、</w:t>
      </w:r>
      <w:r>
        <w:rPr>
          <w:rFonts w:hint="eastAsia" w:ascii="宋体" w:hAnsi="宋体" w:cs="宋体"/>
          <w:b w:val="0"/>
          <w:bCs w:val="0"/>
          <w:sz w:val="24"/>
          <w:szCs w:val="24"/>
          <w:highlight w:val="none"/>
          <w:lang w:val="en-US" w:eastAsia="zh-CN"/>
        </w:rPr>
        <w:t>安全加固、</w:t>
      </w:r>
      <w:r>
        <w:rPr>
          <w:rFonts w:hint="eastAsia" w:ascii="宋体" w:hAnsi="宋体" w:eastAsia="宋体" w:cs="宋体"/>
          <w:b w:val="0"/>
          <w:bCs w:val="0"/>
          <w:sz w:val="24"/>
          <w:szCs w:val="24"/>
          <w:highlight w:val="none"/>
          <w:lang w:val="en-GB" w:eastAsia="zh-CN"/>
        </w:rPr>
        <w:t>应急响应服务、安全应急演练服务、渗透测试服务、</w:t>
      </w:r>
      <w:r>
        <w:rPr>
          <w:rFonts w:hint="eastAsia" w:ascii="宋体" w:hAnsi="宋体" w:cs="宋体"/>
          <w:b w:val="0"/>
          <w:bCs w:val="0"/>
          <w:sz w:val="24"/>
          <w:szCs w:val="24"/>
          <w:highlight w:val="none"/>
          <w:lang w:val="en-US" w:eastAsia="zh-CN"/>
        </w:rPr>
        <w:t>医院官网、</w:t>
      </w:r>
      <w:r>
        <w:rPr>
          <w:rFonts w:hint="eastAsia" w:ascii="宋体" w:hAnsi="宋体" w:eastAsia="宋体" w:cs="宋体"/>
          <w:b w:val="0"/>
          <w:bCs w:val="0"/>
          <w:sz w:val="24"/>
          <w:szCs w:val="24"/>
          <w:highlight w:val="none"/>
          <w:lang w:val="en-GB" w:eastAsia="zh-CN"/>
        </w:rPr>
        <w:t>APP/小程序深度评估服务、安全培训服务、安全</w:t>
      </w:r>
      <w:r>
        <w:rPr>
          <w:rFonts w:hint="eastAsia" w:ascii="宋体" w:hAnsi="宋体" w:eastAsia="宋体" w:cs="宋体"/>
          <w:b w:val="0"/>
          <w:bCs w:val="0"/>
          <w:sz w:val="24"/>
          <w:szCs w:val="24"/>
          <w:highlight w:val="none"/>
          <w:lang w:val="en-US" w:eastAsia="zh-CN"/>
        </w:rPr>
        <w:t>现场</w:t>
      </w:r>
      <w:r>
        <w:rPr>
          <w:rFonts w:hint="eastAsia" w:ascii="宋体" w:hAnsi="宋体" w:eastAsia="宋体" w:cs="宋体"/>
          <w:b w:val="0"/>
          <w:bCs w:val="0"/>
          <w:sz w:val="24"/>
          <w:szCs w:val="24"/>
          <w:highlight w:val="none"/>
          <w:lang w:val="en-GB" w:eastAsia="zh-CN"/>
        </w:rPr>
        <w:t>服务、</w:t>
      </w:r>
      <w:r>
        <w:rPr>
          <w:rFonts w:hint="eastAsia" w:ascii="宋体" w:hAnsi="宋体" w:eastAsia="宋体" w:cs="宋体"/>
          <w:b w:val="0"/>
          <w:bCs w:val="0"/>
          <w:sz w:val="24"/>
          <w:szCs w:val="24"/>
          <w:highlight w:val="none"/>
          <w:lang w:val="en-US" w:eastAsia="zh-CN"/>
        </w:rPr>
        <w:t>应急护网服务</w:t>
      </w:r>
      <w:r>
        <w:rPr>
          <w:rFonts w:hint="eastAsia" w:ascii="宋体" w:hAnsi="宋体" w:eastAsia="宋体" w:cs="宋体"/>
          <w:b w:val="0"/>
          <w:bCs w:val="0"/>
          <w:sz w:val="24"/>
          <w:szCs w:val="24"/>
          <w:highlight w:val="none"/>
          <w:lang w:val="en-GB" w:eastAsia="zh-CN"/>
        </w:rPr>
        <w:t>、关基设施安全检测和风险评估服务。</w:t>
      </w:r>
      <w:r>
        <w:rPr>
          <w:rFonts w:hint="eastAsia" w:ascii="宋体" w:hAnsi="宋体" w:cs="宋体"/>
          <w:b w:val="0"/>
          <w:bCs w:val="0"/>
          <w:sz w:val="24"/>
          <w:szCs w:val="24"/>
          <w:highlight w:val="none"/>
          <w:lang w:val="en-US" w:eastAsia="zh-CN"/>
        </w:rPr>
        <w:t>具体如表格所示：</w:t>
      </w:r>
    </w:p>
    <w:tbl>
      <w:tblPr>
        <w:tblStyle w:val="10"/>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00"/>
        <w:gridCol w:w="4533"/>
        <w:gridCol w:w="2037"/>
      </w:tblGrid>
      <w:tr w14:paraId="5B77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48" w:type="dxa"/>
            <w:shd w:val="clear" w:color="auto" w:fill="auto"/>
            <w:vAlign w:val="center"/>
          </w:tcPr>
          <w:p w14:paraId="21AA74FB">
            <w:pPr>
              <w:widowControl/>
              <w:ind w:firstLine="0" w:firstLineChars="0"/>
              <w:jc w:val="center"/>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序号</w:t>
            </w:r>
          </w:p>
        </w:tc>
        <w:tc>
          <w:tcPr>
            <w:tcW w:w="1400" w:type="dxa"/>
            <w:shd w:val="clear" w:color="auto" w:fill="auto"/>
            <w:vAlign w:val="center"/>
          </w:tcPr>
          <w:p w14:paraId="42AD42C3">
            <w:pPr>
              <w:widowControl/>
              <w:ind w:firstLine="0" w:firstLineChars="0"/>
              <w:jc w:val="center"/>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服务名称</w:t>
            </w:r>
          </w:p>
        </w:tc>
        <w:tc>
          <w:tcPr>
            <w:tcW w:w="4533" w:type="dxa"/>
            <w:shd w:val="clear" w:color="auto" w:fill="auto"/>
            <w:vAlign w:val="center"/>
          </w:tcPr>
          <w:p w14:paraId="61E424BD">
            <w:pPr>
              <w:widowControl/>
              <w:ind w:firstLine="0" w:firstLineChars="0"/>
              <w:jc w:val="center"/>
              <w:rPr>
                <w:rFonts w:hint="eastAsia" w:ascii="宋体" w:hAnsi="宋体" w:eastAsia="宋体" w:cs="宋体"/>
                <w:b/>
                <w:bCs/>
                <w:color w:val="000000"/>
                <w:kern w:val="0"/>
                <w:sz w:val="21"/>
                <w:szCs w:val="21"/>
                <w:highlight w:val="none"/>
                <w:lang w:val="en-US" w:eastAsia="zh-CN"/>
              </w:rPr>
            </w:pPr>
            <w:r>
              <w:rPr>
                <w:rFonts w:hint="eastAsia" w:ascii="宋体" w:hAnsi="宋体" w:eastAsia="宋体" w:cs="宋体"/>
                <w:b/>
                <w:bCs/>
                <w:color w:val="000000"/>
                <w:kern w:val="0"/>
                <w:sz w:val="21"/>
                <w:szCs w:val="21"/>
                <w:highlight w:val="none"/>
              </w:rPr>
              <w:t>服务</w:t>
            </w:r>
            <w:r>
              <w:rPr>
                <w:rFonts w:hint="eastAsia" w:ascii="宋体" w:hAnsi="宋体" w:cs="宋体"/>
                <w:b/>
                <w:bCs/>
                <w:color w:val="000000"/>
                <w:kern w:val="0"/>
                <w:sz w:val="21"/>
                <w:szCs w:val="21"/>
                <w:highlight w:val="none"/>
                <w:lang w:val="en-US" w:eastAsia="zh-CN"/>
              </w:rPr>
              <w:t>内容</w:t>
            </w:r>
          </w:p>
        </w:tc>
        <w:tc>
          <w:tcPr>
            <w:tcW w:w="2037" w:type="dxa"/>
            <w:shd w:val="clear" w:color="auto" w:fill="auto"/>
            <w:vAlign w:val="center"/>
          </w:tcPr>
          <w:p w14:paraId="7C56D45D">
            <w:pPr>
              <w:widowControl/>
              <w:ind w:firstLine="0" w:firstLineChars="0"/>
              <w:jc w:val="center"/>
              <w:rPr>
                <w:rFonts w:hint="default" w:ascii="宋体" w:hAnsi="宋体" w:eastAsia="宋体" w:cs="宋体"/>
                <w:b/>
                <w:bCs/>
                <w:color w:val="000000"/>
                <w:kern w:val="0"/>
                <w:sz w:val="21"/>
                <w:szCs w:val="21"/>
                <w:highlight w:val="none"/>
                <w:lang w:val="en-US" w:eastAsia="zh-CN"/>
              </w:rPr>
            </w:pPr>
            <w:r>
              <w:rPr>
                <w:rFonts w:hint="eastAsia" w:ascii="宋体" w:hAnsi="宋体" w:eastAsia="宋体" w:cs="宋体"/>
                <w:b/>
                <w:bCs/>
                <w:color w:val="000000"/>
                <w:kern w:val="0"/>
                <w:sz w:val="21"/>
                <w:szCs w:val="21"/>
                <w:highlight w:val="none"/>
                <w:lang w:val="en-US" w:eastAsia="zh-CN"/>
              </w:rPr>
              <w:t>服务</w:t>
            </w:r>
            <w:r>
              <w:rPr>
                <w:rFonts w:hint="eastAsia" w:ascii="宋体" w:hAnsi="宋体" w:cs="宋体"/>
                <w:b/>
                <w:bCs/>
                <w:color w:val="000000"/>
                <w:kern w:val="0"/>
                <w:sz w:val="21"/>
                <w:szCs w:val="21"/>
                <w:highlight w:val="none"/>
                <w:lang w:val="en-US" w:eastAsia="zh-CN"/>
              </w:rPr>
              <w:t>要求</w:t>
            </w:r>
          </w:p>
        </w:tc>
      </w:tr>
      <w:tr w14:paraId="4980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48" w:type="dxa"/>
            <w:vMerge w:val="restart"/>
            <w:shd w:val="clear" w:color="auto" w:fill="auto"/>
            <w:vAlign w:val="center"/>
          </w:tcPr>
          <w:p w14:paraId="5C5755D4">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1400" w:type="dxa"/>
            <w:vMerge w:val="restart"/>
            <w:shd w:val="clear" w:color="auto" w:fill="auto"/>
            <w:vAlign w:val="center"/>
          </w:tcPr>
          <w:p w14:paraId="38346406">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安全咨询服务</w:t>
            </w:r>
          </w:p>
        </w:tc>
        <w:tc>
          <w:tcPr>
            <w:tcW w:w="4533" w:type="dxa"/>
            <w:shd w:val="clear" w:color="auto" w:fill="auto"/>
            <w:vAlign w:val="center"/>
          </w:tcPr>
          <w:p w14:paraId="66239C91">
            <w:pPr>
              <w:widowControl/>
              <w:ind w:firstLine="0" w:firstLineChars="0"/>
              <w:jc w:val="left"/>
              <w:rPr>
                <w:rFonts w:hint="eastAsia" w:ascii="宋体" w:hAnsi="宋体" w:eastAsia="宋体" w:cs="宋体"/>
                <w:color w:val="000000"/>
                <w:kern w:val="0"/>
                <w:sz w:val="20"/>
                <w:szCs w:val="20"/>
                <w:highlight w:val="none"/>
                <w:lang w:val="en-US" w:eastAsia="zh-CN"/>
              </w:rPr>
            </w:pPr>
            <w:r>
              <w:rPr>
                <w:rFonts w:hint="eastAsia" w:ascii="宋体" w:hAnsi="宋体" w:cs="宋体"/>
                <w:color w:val="000000"/>
                <w:kern w:val="0"/>
                <w:sz w:val="21"/>
                <w:szCs w:val="21"/>
                <w:highlight w:val="none"/>
                <w:lang w:val="en-US" w:eastAsia="zh-CN"/>
              </w:rPr>
              <w:t>（</w:t>
            </w:r>
            <w:r>
              <w:rPr>
                <w:rFonts w:hint="eastAsia" w:ascii="宋体" w:hAnsi="宋体" w:eastAsia="宋体" w:cs="宋体"/>
                <w:color w:val="auto"/>
                <w:kern w:val="0"/>
                <w:szCs w:val="21"/>
                <w:highlight w:val="none"/>
                <w:lang w:val="en-US" w:eastAsia="zh-CN" w:bidi="ar"/>
              </w:rPr>
              <w:t>1）以现场服务的方式，进行安全咨询规划，主要内容为安全管理体系规划、安全技术体系规划、安全运维体系规划，达到了深刻认识安全体系建设，顺利通过等级保护2.0中安全管理要求。</w:t>
            </w:r>
          </w:p>
        </w:tc>
        <w:tc>
          <w:tcPr>
            <w:tcW w:w="2037" w:type="dxa"/>
            <w:vMerge w:val="restart"/>
            <w:shd w:val="clear" w:color="auto" w:fill="auto"/>
            <w:vAlign w:val="center"/>
          </w:tcPr>
          <w:p w14:paraId="1B5AC77B">
            <w:pPr>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（1）顺利通过等级保护</w:t>
            </w:r>
            <w:r>
              <w:rPr>
                <w:rFonts w:hint="eastAsia" w:ascii="宋体" w:hAnsi="宋体" w:cs="宋体"/>
                <w:sz w:val="21"/>
                <w:szCs w:val="21"/>
                <w:highlight w:val="none"/>
                <w:lang w:val="en-US" w:eastAsia="zh-CN"/>
              </w:rPr>
              <w:t>测评</w:t>
            </w:r>
          </w:p>
          <w:p w14:paraId="20B500CA">
            <w:pPr>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（2）明确关键信息基础设施安全建设需求</w:t>
            </w:r>
          </w:p>
          <w:p w14:paraId="5C91AB85">
            <w:pPr>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cs="宋体"/>
                <w:sz w:val="21"/>
                <w:szCs w:val="21"/>
                <w:highlight w:val="none"/>
                <w:lang w:val="en-US" w:eastAsia="zh-CN"/>
              </w:rPr>
              <w:t>完善</w:t>
            </w:r>
            <w:r>
              <w:rPr>
                <w:rFonts w:hint="eastAsia" w:ascii="宋体" w:hAnsi="宋体" w:eastAsia="宋体" w:cs="宋体"/>
                <w:sz w:val="21"/>
                <w:szCs w:val="21"/>
                <w:highlight w:val="none"/>
                <w:lang w:val="en-US" w:eastAsia="zh-CN"/>
              </w:rPr>
              <w:t>安全管理体系建设</w:t>
            </w:r>
          </w:p>
        </w:tc>
      </w:tr>
      <w:tr w14:paraId="1E32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48" w:type="dxa"/>
            <w:vMerge w:val="continue"/>
            <w:shd w:val="clear" w:color="auto" w:fill="auto"/>
            <w:vAlign w:val="center"/>
          </w:tcPr>
          <w:p w14:paraId="0932CFC7">
            <w:pPr>
              <w:widowControl/>
              <w:ind w:firstLine="0" w:firstLineChars="0"/>
              <w:jc w:val="left"/>
              <w:rPr>
                <w:highlight w:val="none"/>
              </w:rPr>
            </w:pPr>
          </w:p>
        </w:tc>
        <w:tc>
          <w:tcPr>
            <w:tcW w:w="1400" w:type="dxa"/>
            <w:vMerge w:val="continue"/>
            <w:shd w:val="clear" w:color="auto" w:fill="auto"/>
            <w:vAlign w:val="center"/>
          </w:tcPr>
          <w:p w14:paraId="09C24570">
            <w:pPr>
              <w:widowControl/>
              <w:ind w:firstLine="0" w:firstLineChars="0"/>
              <w:jc w:val="left"/>
              <w:rPr>
                <w:highlight w:val="none"/>
              </w:rPr>
            </w:pPr>
          </w:p>
        </w:tc>
        <w:tc>
          <w:tcPr>
            <w:tcW w:w="4533" w:type="dxa"/>
            <w:shd w:val="clear" w:color="auto" w:fill="auto"/>
            <w:vAlign w:val="center"/>
          </w:tcPr>
          <w:p w14:paraId="2A51E50E">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w:t>
            </w:r>
            <w:r>
              <w:rPr>
                <w:rFonts w:hint="eastAsia" w:ascii="宋体" w:hAnsi="宋体" w:eastAsia="宋体" w:cs="宋体"/>
                <w:color w:val="auto"/>
                <w:kern w:val="0"/>
                <w:szCs w:val="21"/>
                <w:highlight w:val="none"/>
                <w:lang w:val="en-US" w:eastAsia="zh-CN" w:bidi="ar"/>
              </w:rPr>
              <w:t>基于《关键信息基础设施安全保护条例》，协助完成</w:t>
            </w:r>
            <w:r>
              <w:rPr>
                <w:rFonts w:hint="eastAsia" w:ascii="宋体" w:hAnsi="宋体" w:cs="宋体"/>
                <w:color w:val="auto"/>
                <w:kern w:val="0"/>
                <w:szCs w:val="21"/>
                <w:highlight w:val="none"/>
                <w:lang w:val="en-US" w:eastAsia="zh-CN" w:bidi="ar"/>
              </w:rPr>
              <w:t>医院</w:t>
            </w:r>
            <w:r>
              <w:rPr>
                <w:rFonts w:hint="eastAsia" w:ascii="宋体" w:hAnsi="宋体" w:eastAsia="宋体" w:cs="宋体"/>
                <w:color w:val="auto"/>
                <w:kern w:val="0"/>
                <w:szCs w:val="21"/>
                <w:highlight w:val="none"/>
                <w:lang w:val="en-US" w:eastAsia="zh-CN" w:bidi="ar"/>
              </w:rPr>
              <w:t>关键信息基础设施保护方案，每年对关键信息基础设施系统进行风险评估并出具报告。</w:t>
            </w:r>
          </w:p>
        </w:tc>
        <w:tc>
          <w:tcPr>
            <w:tcW w:w="2037" w:type="dxa"/>
            <w:vMerge w:val="continue"/>
            <w:shd w:val="clear" w:color="auto" w:fill="auto"/>
            <w:vAlign w:val="center"/>
          </w:tcPr>
          <w:p w14:paraId="1D55AD9A">
            <w:pPr>
              <w:widowControl/>
              <w:ind w:firstLine="0" w:firstLineChars="0"/>
              <w:jc w:val="left"/>
              <w:rPr>
                <w:rFonts w:hint="eastAsia" w:ascii="宋体" w:hAnsi="宋体" w:eastAsia="宋体" w:cs="宋体"/>
                <w:color w:val="000000"/>
                <w:kern w:val="0"/>
                <w:sz w:val="21"/>
                <w:szCs w:val="21"/>
                <w:highlight w:val="none"/>
              </w:rPr>
            </w:pPr>
          </w:p>
        </w:tc>
      </w:tr>
      <w:tr w14:paraId="4593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jc w:val="center"/>
        </w:trPr>
        <w:tc>
          <w:tcPr>
            <w:tcW w:w="648" w:type="dxa"/>
            <w:vMerge w:val="continue"/>
            <w:vAlign w:val="center"/>
          </w:tcPr>
          <w:p w14:paraId="591F45C6">
            <w:pPr>
              <w:widowControl/>
              <w:ind w:firstLine="0" w:firstLineChars="0"/>
              <w:jc w:val="left"/>
              <w:rPr>
                <w:rFonts w:hint="eastAsia" w:ascii="宋体" w:hAnsi="宋体" w:eastAsia="宋体" w:cs="宋体"/>
                <w:color w:val="000000"/>
                <w:kern w:val="0"/>
                <w:sz w:val="21"/>
                <w:szCs w:val="21"/>
                <w:highlight w:val="none"/>
              </w:rPr>
            </w:pPr>
          </w:p>
        </w:tc>
        <w:tc>
          <w:tcPr>
            <w:tcW w:w="1400" w:type="dxa"/>
            <w:vMerge w:val="continue"/>
            <w:vAlign w:val="center"/>
          </w:tcPr>
          <w:p w14:paraId="2E57546B">
            <w:pPr>
              <w:widowControl/>
              <w:ind w:firstLine="0" w:firstLineChars="0"/>
              <w:jc w:val="left"/>
              <w:rPr>
                <w:rFonts w:hint="eastAsia" w:ascii="宋体" w:hAnsi="宋体" w:eastAsia="宋体" w:cs="宋体"/>
                <w:color w:val="000000"/>
                <w:kern w:val="0"/>
                <w:sz w:val="21"/>
                <w:szCs w:val="21"/>
                <w:highlight w:val="none"/>
              </w:rPr>
            </w:pPr>
          </w:p>
        </w:tc>
        <w:tc>
          <w:tcPr>
            <w:tcW w:w="4533" w:type="dxa"/>
            <w:shd w:val="clear" w:color="auto" w:fill="auto"/>
            <w:vAlign w:val="center"/>
          </w:tcPr>
          <w:p w14:paraId="670C8FD3">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rPr>
              <w:t>）</w:t>
            </w:r>
            <w:r>
              <w:rPr>
                <w:rFonts w:hint="eastAsia" w:ascii="宋体" w:hAnsi="宋体" w:eastAsia="宋体" w:cs="宋体"/>
                <w:color w:val="auto"/>
                <w:kern w:val="0"/>
                <w:szCs w:val="21"/>
                <w:highlight w:val="none"/>
                <w:lang w:bidi="ar"/>
              </w:rPr>
              <w:t>以《网络安全法》《网络安全等级保护基本要求》为依据，结合</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eastAsia="zh-CN" w:bidi="ar"/>
              </w:rPr>
              <w:t>有关</w:t>
            </w:r>
            <w:r>
              <w:rPr>
                <w:rFonts w:hint="eastAsia" w:ascii="宋体" w:hAnsi="宋体" w:eastAsia="宋体" w:cs="宋体"/>
                <w:color w:val="auto"/>
                <w:kern w:val="0"/>
                <w:szCs w:val="21"/>
                <w:highlight w:val="none"/>
                <w:lang w:bidi="ar"/>
              </w:rPr>
              <w:t>要求，对关键信息基础设施、信息安全、信息化建设</w:t>
            </w:r>
            <w:r>
              <w:rPr>
                <w:rFonts w:hint="eastAsia" w:ascii="宋体" w:hAnsi="宋体" w:eastAsia="宋体" w:cs="宋体"/>
                <w:color w:val="auto"/>
                <w:kern w:val="0"/>
                <w:szCs w:val="21"/>
                <w:highlight w:val="none"/>
                <w:lang w:eastAsia="zh-CN" w:bidi="ar"/>
              </w:rPr>
              <w:t>等</w:t>
            </w:r>
            <w:r>
              <w:rPr>
                <w:rFonts w:hint="eastAsia" w:ascii="宋体" w:hAnsi="宋体" w:eastAsia="宋体" w:cs="宋体"/>
                <w:color w:val="auto"/>
                <w:kern w:val="0"/>
                <w:szCs w:val="21"/>
                <w:highlight w:val="none"/>
                <w:lang w:bidi="ar"/>
              </w:rPr>
              <w:t>情况进行调研分析，</w:t>
            </w:r>
            <w:r>
              <w:rPr>
                <w:rFonts w:hint="eastAsia" w:ascii="宋体" w:hAnsi="宋体" w:eastAsia="宋体" w:cs="宋体"/>
                <w:color w:val="auto"/>
                <w:kern w:val="0"/>
                <w:szCs w:val="21"/>
                <w:highlight w:val="none"/>
                <w:lang w:eastAsia="zh-CN" w:bidi="ar"/>
              </w:rPr>
              <w:t>协助</w:t>
            </w:r>
            <w:r>
              <w:rPr>
                <w:rFonts w:hint="eastAsia" w:ascii="宋体" w:hAnsi="宋体" w:eastAsia="宋体" w:cs="宋体"/>
                <w:color w:val="auto"/>
                <w:kern w:val="0"/>
                <w:szCs w:val="21"/>
                <w:highlight w:val="none"/>
                <w:lang w:bidi="ar"/>
              </w:rPr>
              <w:t>完善</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eastAsia="zh-CN" w:bidi="ar"/>
              </w:rPr>
              <w:t>网络</w:t>
            </w:r>
            <w:r>
              <w:rPr>
                <w:rFonts w:hint="eastAsia" w:ascii="宋体" w:hAnsi="宋体" w:eastAsia="宋体" w:cs="宋体"/>
                <w:color w:val="auto"/>
                <w:kern w:val="0"/>
                <w:szCs w:val="21"/>
                <w:highlight w:val="none"/>
                <w:lang w:bidi="ar"/>
              </w:rPr>
              <w:t>安全</w:t>
            </w:r>
            <w:r>
              <w:rPr>
                <w:rFonts w:hint="eastAsia" w:ascii="宋体" w:hAnsi="宋体" w:eastAsia="宋体" w:cs="宋体"/>
                <w:color w:val="auto"/>
                <w:kern w:val="0"/>
                <w:szCs w:val="21"/>
                <w:highlight w:val="none"/>
                <w:lang w:eastAsia="zh-CN" w:bidi="ar"/>
              </w:rPr>
              <w:t>及</w:t>
            </w:r>
            <w:r>
              <w:rPr>
                <w:rFonts w:hint="eastAsia" w:ascii="宋体" w:hAnsi="宋体" w:eastAsia="宋体" w:cs="宋体"/>
                <w:color w:val="auto"/>
                <w:kern w:val="0"/>
                <w:szCs w:val="21"/>
                <w:highlight w:val="none"/>
                <w:lang w:bidi="ar"/>
              </w:rPr>
              <w:t>关键信息基础设施</w:t>
            </w:r>
            <w:r>
              <w:rPr>
                <w:rFonts w:hint="eastAsia" w:ascii="宋体" w:hAnsi="宋体" w:eastAsia="宋体" w:cs="宋体"/>
                <w:color w:val="auto"/>
                <w:kern w:val="0"/>
                <w:szCs w:val="21"/>
                <w:highlight w:val="none"/>
                <w:lang w:eastAsia="zh-CN" w:bidi="ar"/>
              </w:rPr>
              <w:t>相关</w:t>
            </w:r>
            <w:r>
              <w:rPr>
                <w:rFonts w:hint="eastAsia" w:ascii="宋体" w:hAnsi="宋体" w:eastAsia="宋体" w:cs="宋体"/>
                <w:color w:val="auto"/>
                <w:kern w:val="0"/>
                <w:szCs w:val="21"/>
                <w:highlight w:val="none"/>
                <w:lang w:bidi="ar"/>
              </w:rPr>
              <w:t>制度</w:t>
            </w:r>
            <w:r>
              <w:rPr>
                <w:rFonts w:hint="eastAsia" w:ascii="宋体" w:hAnsi="宋体" w:eastAsia="宋体" w:cs="宋体"/>
                <w:color w:val="auto"/>
                <w:kern w:val="0"/>
                <w:szCs w:val="21"/>
                <w:highlight w:val="none"/>
                <w:lang w:eastAsia="zh-CN" w:bidi="ar"/>
              </w:rPr>
              <w:t>；协助</w:t>
            </w:r>
            <w:r>
              <w:rPr>
                <w:rFonts w:hint="eastAsia" w:ascii="宋体" w:hAnsi="宋体" w:eastAsia="宋体" w:cs="宋体"/>
                <w:color w:val="auto"/>
                <w:kern w:val="0"/>
                <w:szCs w:val="21"/>
                <w:highlight w:val="none"/>
                <w:lang w:bidi="ar"/>
              </w:rPr>
              <w:t>梳理</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bidi="ar"/>
              </w:rPr>
              <w:t>资产情况和存在问题，输出相关的资产台</w:t>
            </w:r>
            <w:r>
              <w:rPr>
                <w:rFonts w:hint="eastAsia" w:ascii="宋体" w:hAnsi="宋体" w:eastAsia="宋体" w:cs="宋体"/>
                <w:color w:val="auto"/>
                <w:kern w:val="0"/>
                <w:szCs w:val="21"/>
                <w:highlight w:val="none"/>
                <w:lang w:eastAsia="zh-CN" w:bidi="ar"/>
              </w:rPr>
              <w:t>账。</w:t>
            </w:r>
          </w:p>
        </w:tc>
        <w:tc>
          <w:tcPr>
            <w:tcW w:w="2037" w:type="dxa"/>
            <w:vMerge w:val="continue"/>
            <w:shd w:val="clear" w:color="auto" w:fill="auto"/>
            <w:vAlign w:val="center"/>
          </w:tcPr>
          <w:p w14:paraId="20CD0F51">
            <w:pPr>
              <w:widowControl/>
              <w:ind w:firstLine="0" w:firstLineChars="0"/>
              <w:jc w:val="center"/>
              <w:rPr>
                <w:rFonts w:hint="eastAsia" w:ascii="宋体" w:hAnsi="宋体" w:eastAsia="宋体" w:cs="宋体"/>
                <w:color w:val="000000"/>
                <w:kern w:val="0"/>
                <w:sz w:val="21"/>
                <w:szCs w:val="21"/>
                <w:highlight w:val="none"/>
              </w:rPr>
            </w:pPr>
          </w:p>
        </w:tc>
      </w:tr>
      <w:tr w14:paraId="14A9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jc w:val="center"/>
        </w:trPr>
        <w:tc>
          <w:tcPr>
            <w:tcW w:w="648" w:type="dxa"/>
            <w:vMerge w:val="continue"/>
            <w:vAlign w:val="center"/>
          </w:tcPr>
          <w:p w14:paraId="2CBBD7A6">
            <w:pPr>
              <w:widowControl/>
              <w:ind w:firstLine="0" w:firstLineChars="0"/>
              <w:jc w:val="left"/>
              <w:rPr>
                <w:rFonts w:hint="eastAsia" w:ascii="宋体" w:hAnsi="宋体" w:eastAsia="宋体" w:cs="宋体"/>
                <w:color w:val="000000"/>
                <w:kern w:val="0"/>
                <w:sz w:val="21"/>
                <w:szCs w:val="21"/>
                <w:highlight w:val="none"/>
              </w:rPr>
            </w:pPr>
          </w:p>
        </w:tc>
        <w:tc>
          <w:tcPr>
            <w:tcW w:w="1400" w:type="dxa"/>
            <w:vMerge w:val="continue"/>
            <w:vAlign w:val="center"/>
          </w:tcPr>
          <w:p w14:paraId="4D73E33A">
            <w:pPr>
              <w:widowControl/>
              <w:ind w:firstLine="0" w:firstLineChars="0"/>
              <w:jc w:val="left"/>
              <w:rPr>
                <w:rFonts w:hint="eastAsia" w:ascii="宋体" w:hAnsi="宋体" w:eastAsia="宋体" w:cs="宋体"/>
                <w:color w:val="000000"/>
                <w:kern w:val="0"/>
                <w:sz w:val="21"/>
                <w:szCs w:val="21"/>
                <w:highlight w:val="none"/>
              </w:rPr>
            </w:pPr>
          </w:p>
        </w:tc>
        <w:tc>
          <w:tcPr>
            <w:tcW w:w="4533" w:type="dxa"/>
            <w:shd w:val="clear" w:color="auto" w:fill="auto"/>
            <w:vAlign w:val="center"/>
          </w:tcPr>
          <w:p w14:paraId="1C20A173">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4</w:t>
            </w:r>
            <w:r>
              <w:rPr>
                <w:rFonts w:hint="eastAsia" w:ascii="宋体" w:hAnsi="宋体" w:eastAsia="宋体" w:cs="宋体"/>
                <w:color w:val="000000"/>
                <w:kern w:val="0"/>
                <w:sz w:val="21"/>
                <w:szCs w:val="21"/>
                <w:highlight w:val="none"/>
              </w:rPr>
              <w:t>）安全运维体系规划服务</w:t>
            </w:r>
            <w:r>
              <w:rPr>
                <w:rFonts w:hint="eastAsia" w:ascii="宋体" w:hAnsi="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从风险评估、安全审计、日常维护、信息资产、口令、电子文档、系统应急等方面对运维过程中的重要管理问题进行安全管理建设，进行全方位的、系统的运维保障管理和技术体系的应用。</w:t>
            </w:r>
          </w:p>
        </w:tc>
        <w:tc>
          <w:tcPr>
            <w:tcW w:w="2037" w:type="dxa"/>
            <w:vMerge w:val="continue"/>
            <w:shd w:val="clear" w:color="auto" w:fill="auto"/>
            <w:vAlign w:val="center"/>
          </w:tcPr>
          <w:p w14:paraId="6E500FA7">
            <w:pPr>
              <w:widowControl/>
              <w:ind w:firstLine="0" w:firstLineChars="0"/>
              <w:jc w:val="both"/>
              <w:rPr>
                <w:rFonts w:hint="eastAsia" w:ascii="宋体" w:hAnsi="宋体" w:eastAsia="宋体" w:cs="宋体"/>
                <w:color w:val="000000"/>
                <w:kern w:val="0"/>
                <w:sz w:val="21"/>
                <w:szCs w:val="21"/>
                <w:highlight w:val="none"/>
              </w:rPr>
            </w:pPr>
          </w:p>
        </w:tc>
      </w:tr>
      <w:tr w14:paraId="658D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48" w:type="dxa"/>
            <w:vMerge w:val="restart"/>
            <w:shd w:val="clear" w:color="auto" w:fill="auto"/>
            <w:vAlign w:val="center"/>
          </w:tcPr>
          <w:p w14:paraId="2ED43D4D">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1400" w:type="dxa"/>
            <w:vMerge w:val="restart"/>
            <w:shd w:val="clear" w:color="auto" w:fill="auto"/>
            <w:vAlign w:val="center"/>
          </w:tcPr>
          <w:p w14:paraId="377F6A3D">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安全评估服务</w:t>
            </w:r>
          </w:p>
        </w:tc>
        <w:tc>
          <w:tcPr>
            <w:tcW w:w="4533" w:type="dxa"/>
            <w:shd w:val="clear" w:color="auto" w:fill="auto"/>
            <w:vAlign w:val="center"/>
          </w:tcPr>
          <w:p w14:paraId="15ECAEA5">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r>
              <w:rPr>
                <w:rFonts w:hint="eastAsia" w:ascii="宋体" w:hAnsi="宋体" w:eastAsia="宋体" w:cs="宋体"/>
                <w:color w:val="auto"/>
                <w:kern w:val="0"/>
                <w:szCs w:val="21"/>
                <w:highlight w:val="none"/>
                <w:lang w:val="en-US" w:eastAsia="zh-CN" w:bidi="ar"/>
              </w:rPr>
              <w:t>协助</w:t>
            </w:r>
            <w:r>
              <w:rPr>
                <w:rFonts w:hint="eastAsia" w:ascii="宋体" w:hAnsi="宋体" w:cs="宋体"/>
                <w:color w:val="auto"/>
                <w:kern w:val="0"/>
                <w:szCs w:val="21"/>
                <w:highlight w:val="none"/>
                <w:lang w:val="en-US" w:eastAsia="zh-CN" w:bidi="ar"/>
              </w:rPr>
              <w:t>医院</w:t>
            </w:r>
            <w:r>
              <w:rPr>
                <w:rFonts w:hint="eastAsia" w:ascii="宋体" w:hAnsi="宋体" w:eastAsia="宋体" w:cs="宋体"/>
                <w:color w:val="auto"/>
                <w:kern w:val="0"/>
                <w:szCs w:val="21"/>
                <w:highlight w:val="none"/>
                <w:lang w:val="en-US" w:eastAsia="zh-CN" w:bidi="ar"/>
              </w:rPr>
              <w:t>每月完成本地和云上信息系统的安全漏洞扫描工作，通过专业软件和人工分析梳理每个系统系统存在安全漏洞，并出具相关网络安全漏洞扫描报告。</w:t>
            </w:r>
          </w:p>
        </w:tc>
        <w:tc>
          <w:tcPr>
            <w:tcW w:w="2037" w:type="dxa"/>
            <w:vMerge w:val="restart"/>
            <w:shd w:val="clear" w:color="auto" w:fill="auto"/>
            <w:vAlign w:val="center"/>
          </w:tcPr>
          <w:p w14:paraId="6F124C62">
            <w:pP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auto"/>
                <w:sz w:val="21"/>
                <w:szCs w:val="21"/>
                <w:highlight w:val="none"/>
                <w:u w:val="none"/>
                <w:lang w:val="en-US" w:eastAsia="zh-CN"/>
              </w:rPr>
              <w:t>每月输出漏洞评估报告、针对高频类型漏洞进行专项人工复测，使安全风险降到最低</w:t>
            </w:r>
          </w:p>
        </w:tc>
      </w:tr>
      <w:tr w14:paraId="5B0A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48" w:type="dxa"/>
            <w:vMerge w:val="continue"/>
            <w:vAlign w:val="center"/>
          </w:tcPr>
          <w:p w14:paraId="5020F6B7">
            <w:pPr>
              <w:widowControl/>
              <w:ind w:firstLine="0" w:firstLineChars="0"/>
              <w:jc w:val="left"/>
              <w:rPr>
                <w:rFonts w:hint="eastAsia" w:ascii="宋体" w:hAnsi="宋体" w:eastAsia="宋体" w:cs="宋体"/>
                <w:color w:val="000000"/>
                <w:kern w:val="0"/>
                <w:sz w:val="21"/>
                <w:szCs w:val="21"/>
                <w:highlight w:val="none"/>
              </w:rPr>
            </w:pPr>
          </w:p>
        </w:tc>
        <w:tc>
          <w:tcPr>
            <w:tcW w:w="1400" w:type="dxa"/>
            <w:vMerge w:val="continue"/>
            <w:vAlign w:val="center"/>
          </w:tcPr>
          <w:p w14:paraId="1CF26452">
            <w:pPr>
              <w:widowControl/>
              <w:ind w:firstLine="0" w:firstLineChars="0"/>
              <w:jc w:val="left"/>
              <w:rPr>
                <w:rFonts w:hint="eastAsia" w:ascii="宋体" w:hAnsi="宋体" w:eastAsia="宋体" w:cs="宋体"/>
                <w:color w:val="000000"/>
                <w:kern w:val="0"/>
                <w:sz w:val="21"/>
                <w:szCs w:val="21"/>
                <w:highlight w:val="none"/>
              </w:rPr>
            </w:pPr>
          </w:p>
        </w:tc>
        <w:tc>
          <w:tcPr>
            <w:tcW w:w="4533" w:type="dxa"/>
            <w:shd w:val="clear" w:color="auto" w:fill="auto"/>
            <w:vAlign w:val="center"/>
          </w:tcPr>
          <w:p w14:paraId="62B97504">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rPr>
              <w:t>）</w:t>
            </w:r>
            <w:r>
              <w:rPr>
                <w:rFonts w:hint="eastAsia" w:ascii="宋体" w:hAnsi="宋体" w:eastAsia="宋体" w:cs="宋体"/>
                <w:color w:val="auto"/>
                <w:kern w:val="0"/>
                <w:szCs w:val="21"/>
                <w:highlight w:val="none"/>
                <w:lang w:val="en-US" w:eastAsia="zh-CN" w:bidi="ar"/>
              </w:rPr>
              <w:t>按要求根据省委网信办、省公安厅、政务数局等国家或广东省网络安全部门通报存在漏洞的系统进行安全漏洞风险复查，并</w:t>
            </w:r>
            <w:r>
              <w:rPr>
                <w:rFonts w:hint="eastAsia" w:ascii="宋体" w:hAnsi="宋体" w:eastAsia="宋体" w:cs="宋体"/>
                <w:color w:val="auto"/>
                <w:kern w:val="0"/>
                <w:szCs w:val="21"/>
                <w:highlight w:val="none"/>
                <w:lang w:bidi="ar"/>
              </w:rPr>
              <w:t>对这些漏洞进行分析</w:t>
            </w:r>
            <w:r>
              <w:rPr>
                <w:rFonts w:hint="eastAsia" w:ascii="宋体" w:hAnsi="宋体" w:eastAsia="宋体" w:cs="宋体"/>
                <w:color w:val="auto"/>
                <w:kern w:val="0"/>
                <w:szCs w:val="21"/>
                <w:highlight w:val="none"/>
                <w:lang w:eastAsia="zh-CN" w:bidi="ar"/>
              </w:rPr>
              <w:t>研判</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eastAsia="zh-CN" w:bidi="ar"/>
              </w:rPr>
              <w:t>确认其对</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eastAsia="zh-CN" w:bidi="ar"/>
              </w:rPr>
              <w:t>造成的风险，并提出优化方案和指引</w:t>
            </w:r>
            <w:r>
              <w:rPr>
                <w:rFonts w:hint="eastAsia" w:ascii="宋体" w:hAnsi="宋体" w:eastAsia="宋体" w:cs="宋体"/>
                <w:color w:val="auto"/>
                <w:kern w:val="0"/>
                <w:szCs w:val="21"/>
                <w:highlight w:val="none"/>
                <w:lang w:bidi="ar"/>
              </w:rPr>
              <w:t>。</w:t>
            </w:r>
          </w:p>
        </w:tc>
        <w:tc>
          <w:tcPr>
            <w:tcW w:w="2037" w:type="dxa"/>
            <w:vMerge w:val="continue"/>
            <w:vAlign w:val="center"/>
          </w:tcPr>
          <w:p w14:paraId="37EA0626">
            <w:pPr>
              <w:widowControl/>
              <w:ind w:firstLine="0" w:firstLineChars="0"/>
              <w:jc w:val="left"/>
              <w:rPr>
                <w:rFonts w:hint="eastAsia" w:ascii="宋体" w:hAnsi="宋体" w:eastAsia="宋体" w:cs="宋体"/>
                <w:color w:val="000000"/>
                <w:kern w:val="0"/>
                <w:sz w:val="21"/>
                <w:szCs w:val="21"/>
                <w:highlight w:val="none"/>
              </w:rPr>
            </w:pPr>
          </w:p>
        </w:tc>
      </w:tr>
      <w:tr w14:paraId="4188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48" w:type="dxa"/>
            <w:vMerge w:val="continue"/>
            <w:vAlign w:val="center"/>
          </w:tcPr>
          <w:p w14:paraId="12AC9BCF">
            <w:pPr>
              <w:widowControl/>
              <w:ind w:firstLine="0" w:firstLineChars="0"/>
              <w:jc w:val="left"/>
              <w:rPr>
                <w:rFonts w:hint="eastAsia" w:ascii="宋体" w:hAnsi="宋体" w:eastAsia="宋体" w:cs="宋体"/>
                <w:color w:val="000000"/>
                <w:kern w:val="0"/>
                <w:sz w:val="21"/>
                <w:szCs w:val="21"/>
                <w:highlight w:val="none"/>
              </w:rPr>
            </w:pPr>
          </w:p>
        </w:tc>
        <w:tc>
          <w:tcPr>
            <w:tcW w:w="1400" w:type="dxa"/>
            <w:vMerge w:val="continue"/>
            <w:vAlign w:val="center"/>
          </w:tcPr>
          <w:p w14:paraId="708CA812">
            <w:pPr>
              <w:widowControl/>
              <w:ind w:firstLine="0" w:firstLineChars="0"/>
              <w:jc w:val="left"/>
              <w:rPr>
                <w:rFonts w:hint="eastAsia" w:ascii="宋体" w:hAnsi="宋体" w:eastAsia="宋体" w:cs="宋体"/>
                <w:color w:val="000000"/>
                <w:kern w:val="0"/>
                <w:sz w:val="21"/>
                <w:szCs w:val="21"/>
                <w:highlight w:val="none"/>
              </w:rPr>
            </w:pPr>
          </w:p>
        </w:tc>
        <w:tc>
          <w:tcPr>
            <w:tcW w:w="4533" w:type="dxa"/>
            <w:shd w:val="clear" w:color="auto" w:fill="auto"/>
            <w:vAlign w:val="center"/>
          </w:tcPr>
          <w:p w14:paraId="6C3CFEFB">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采用最佳配置核查实践对操作系统、数据库、中间件、网络设备、网络安全设备、网络边界进行配置核查。</w:t>
            </w:r>
          </w:p>
        </w:tc>
        <w:tc>
          <w:tcPr>
            <w:tcW w:w="2037" w:type="dxa"/>
            <w:vMerge w:val="continue"/>
            <w:vAlign w:val="center"/>
          </w:tcPr>
          <w:p w14:paraId="784B9293">
            <w:pPr>
              <w:widowControl/>
              <w:ind w:firstLine="0" w:firstLineChars="0"/>
              <w:jc w:val="left"/>
              <w:rPr>
                <w:rFonts w:hint="eastAsia" w:ascii="宋体" w:hAnsi="宋体" w:eastAsia="宋体" w:cs="宋体"/>
                <w:color w:val="000000"/>
                <w:kern w:val="0"/>
                <w:sz w:val="21"/>
                <w:szCs w:val="21"/>
                <w:highlight w:val="none"/>
              </w:rPr>
            </w:pPr>
          </w:p>
        </w:tc>
      </w:tr>
      <w:tr w14:paraId="1C5A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48" w:type="dxa"/>
            <w:vMerge w:val="continue"/>
            <w:vAlign w:val="center"/>
          </w:tcPr>
          <w:p w14:paraId="2AB0D9B0">
            <w:pPr>
              <w:widowControl/>
              <w:ind w:firstLine="0" w:firstLineChars="0"/>
              <w:jc w:val="left"/>
              <w:rPr>
                <w:rFonts w:hint="eastAsia" w:ascii="宋体" w:hAnsi="宋体" w:eastAsia="宋体" w:cs="宋体"/>
                <w:color w:val="000000"/>
                <w:kern w:val="0"/>
                <w:sz w:val="21"/>
                <w:szCs w:val="21"/>
                <w:highlight w:val="none"/>
              </w:rPr>
            </w:pPr>
          </w:p>
        </w:tc>
        <w:tc>
          <w:tcPr>
            <w:tcW w:w="1400" w:type="dxa"/>
            <w:vMerge w:val="continue"/>
            <w:vAlign w:val="center"/>
          </w:tcPr>
          <w:p w14:paraId="12348A64">
            <w:pPr>
              <w:widowControl/>
              <w:ind w:firstLine="0" w:firstLineChars="0"/>
              <w:jc w:val="left"/>
              <w:rPr>
                <w:rFonts w:hint="eastAsia" w:ascii="宋体" w:hAnsi="宋体" w:eastAsia="宋体" w:cs="宋体"/>
                <w:color w:val="000000"/>
                <w:kern w:val="0"/>
                <w:sz w:val="21"/>
                <w:szCs w:val="21"/>
                <w:highlight w:val="none"/>
              </w:rPr>
            </w:pPr>
          </w:p>
        </w:tc>
        <w:tc>
          <w:tcPr>
            <w:tcW w:w="4533" w:type="dxa"/>
            <w:shd w:val="clear" w:color="auto" w:fill="auto"/>
            <w:vAlign w:val="center"/>
          </w:tcPr>
          <w:p w14:paraId="71B33B1F">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4</w:t>
            </w:r>
            <w:r>
              <w:rPr>
                <w:rFonts w:hint="eastAsia" w:ascii="宋体" w:hAnsi="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专业安全顾问进行访谈、网络安全现状评估等</w:t>
            </w:r>
          </w:p>
        </w:tc>
        <w:tc>
          <w:tcPr>
            <w:tcW w:w="2037" w:type="dxa"/>
            <w:vMerge w:val="continue"/>
            <w:vAlign w:val="center"/>
          </w:tcPr>
          <w:p w14:paraId="099E3BEA">
            <w:pPr>
              <w:widowControl/>
              <w:ind w:firstLine="0" w:firstLineChars="0"/>
              <w:jc w:val="left"/>
              <w:rPr>
                <w:rFonts w:hint="eastAsia" w:ascii="宋体" w:hAnsi="宋体" w:eastAsia="宋体" w:cs="宋体"/>
                <w:color w:val="000000"/>
                <w:kern w:val="0"/>
                <w:sz w:val="21"/>
                <w:szCs w:val="21"/>
                <w:highlight w:val="none"/>
              </w:rPr>
            </w:pPr>
          </w:p>
        </w:tc>
      </w:tr>
      <w:tr w14:paraId="66E8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48" w:type="dxa"/>
            <w:shd w:val="clear" w:color="auto" w:fill="auto"/>
            <w:vAlign w:val="center"/>
          </w:tcPr>
          <w:p w14:paraId="5B1B547B">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1400" w:type="dxa"/>
            <w:shd w:val="clear" w:color="auto" w:fill="auto"/>
            <w:vAlign w:val="center"/>
          </w:tcPr>
          <w:p w14:paraId="54433635">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安全加固服务</w:t>
            </w:r>
          </w:p>
        </w:tc>
        <w:tc>
          <w:tcPr>
            <w:tcW w:w="4533" w:type="dxa"/>
            <w:shd w:val="clear" w:color="auto" w:fill="auto"/>
            <w:vAlign w:val="center"/>
          </w:tcPr>
          <w:p w14:paraId="5BA936DD">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按评估结果</w:t>
            </w:r>
            <w:r>
              <w:rPr>
                <w:rFonts w:hint="eastAsia" w:ascii="宋体" w:hAnsi="宋体" w:cs="宋体"/>
                <w:color w:val="000000"/>
                <w:kern w:val="0"/>
                <w:sz w:val="21"/>
                <w:szCs w:val="21"/>
                <w:highlight w:val="none"/>
                <w:lang w:val="en-US" w:eastAsia="zh-CN"/>
              </w:rPr>
              <w:t>对相关网络资产设备及系统</w:t>
            </w:r>
            <w:r>
              <w:rPr>
                <w:rFonts w:hint="eastAsia" w:ascii="宋体" w:hAnsi="宋体" w:eastAsia="宋体" w:cs="宋体"/>
                <w:color w:val="000000"/>
                <w:kern w:val="0"/>
                <w:sz w:val="21"/>
                <w:szCs w:val="21"/>
                <w:highlight w:val="none"/>
              </w:rPr>
              <w:t>通过升级、打补丁、修改配置等整改</w:t>
            </w:r>
            <w:r>
              <w:rPr>
                <w:rFonts w:hint="eastAsia" w:ascii="宋体" w:hAnsi="宋体" w:cs="宋体"/>
                <w:color w:val="000000"/>
                <w:kern w:val="0"/>
                <w:sz w:val="21"/>
                <w:szCs w:val="21"/>
                <w:highlight w:val="none"/>
                <w:lang w:val="en-US" w:eastAsia="zh-CN"/>
              </w:rPr>
              <w:t>的技术支持</w:t>
            </w:r>
            <w:r>
              <w:rPr>
                <w:rFonts w:hint="eastAsia" w:ascii="宋体" w:hAnsi="宋体" w:eastAsia="宋体" w:cs="宋体"/>
                <w:color w:val="000000"/>
                <w:kern w:val="0"/>
                <w:sz w:val="21"/>
                <w:szCs w:val="21"/>
                <w:highlight w:val="none"/>
              </w:rPr>
              <w:t>。</w:t>
            </w:r>
          </w:p>
        </w:tc>
        <w:tc>
          <w:tcPr>
            <w:tcW w:w="2037" w:type="dxa"/>
            <w:shd w:val="clear" w:color="auto" w:fill="auto"/>
            <w:vAlign w:val="center"/>
          </w:tcPr>
          <w:p w14:paraId="2FA53B22">
            <w:pPr>
              <w:widowControl/>
              <w:ind w:firstLine="0" w:firstLine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对重要资产设备进行加固</w:t>
            </w:r>
            <w:r>
              <w:rPr>
                <w:rFonts w:hint="eastAsia" w:ascii="宋体" w:hAnsi="宋体" w:cs="宋体"/>
                <w:color w:val="000000"/>
                <w:kern w:val="0"/>
                <w:sz w:val="21"/>
                <w:szCs w:val="21"/>
                <w:highlight w:val="none"/>
                <w:lang w:val="en-US" w:eastAsia="zh-CN"/>
              </w:rPr>
              <w:t>，每季度，共</w:t>
            </w:r>
            <w:r>
              <w:rPr>
                <w:rFonts w:hint="eastAsia" w:ascii="宋体" w:hAnsi="宋体" w:eastAsia="宋体" w:cs="宋体"/>
                <w:color w:val="000000"/>
                <w:kern w:val="0"/>
                <w:sz w:val="21"/>
                <w:szCs w:val="21"/>
                <w:highlight w:val="none"/>
              </w:rPr>
              <w:t>4次/年</w:t>
            </w:r>
          </w:p>
        </w:tc>
      </w:tr>
      <w:tr w14:paraId="708A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648" w:type="dxa"/>
            <w:vMerge w:val="restart"/>
            <w:shd w:val="clear" w:color="auto" w:fill="auto"/>
            <w:vAlign w:val="center"/>
          </w:tcPr>
          <w:p w14:paraId="34BC429E">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1400" w:type="dxa"/>
            <w:vMerge w:val="restart"/>
            <w:shd w:val="clear" w:color="auto" w:fill="auto"/>
            <w:vAlign w:val="center"/>
          </w:tcPr>
          <w:p w14:paraId="6FC5811E">
            <w:pPr>
              <w:widowControl/>
              <w:ind w:firstLine="0" w:firstLine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应急响应</w:t>
            </w:r>
            <w:r>
              <w:rPr>
                <w:rFonts w:hint="eastAsia" w:ascii="宋体" w:hAnsi="宋体" w:cs="宋体"/>
                <w:color w:val="000000"/>
                <w:kern w:val="0"/>
                <w:sz w:val="21"/>
                <w:szCs w:val="21"/>
                <w:highlight w:val="none"/>
                <w:lang w:val="en-US" w:eastAsia="zh-CN"/>
              </w:rPr>
              <w:t>服务</w:t>
            </w:r>
          </w:p>
        </w:tc>
        <w:tc>
          <w:tcPr>
            <w:tcW w:w="4533" w:type="dxa"/>
            <w:shd w:val="clear" w:color="auto" w:fill="auto"/>
            <w:vAlign w:val="center"/>
          </w:tcPr>
          <w:p w14:paraId="4477C02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1</w:t>
            </w:r>
            <w:r>
              <w:rPr>
                <w:rFonts w:hint="eastAsia" w:ascii="宋体" w:hAnsi="宋体" w:eastAsia="宋体" w:cs="宋体"/>
                <w:color w:val="auto"/>
                <w:kern w:val="0"/>
                <w:szCs w:val="21"/>
                <w:highlight w:val="none"/>
                <w:lang w:eastAsia="zh-CN" w:bidi="ar"/>
              </w:rPr>
              <w:t>）重大会议和节假日期间，</w:t>
            </w:r>
            <w:r>
              <w:rPr>
                <w:rFonts w:hint="eastAsia" w:ascii="宋体" w:hAnsi="宋体" w:eastAsia="宋体" w:cs="宋体"/>
                <w:color w:val="auto"/>
                <w:kern w:val="0"/>
                <w:szCs w:val="21"/>
                <w:highlight w:val="none"/>
                <w:lang w:bidi="ar"/>
              </w:rPr>
              <w:t>组织</w:t>
            </w:r>
            <w:r>
              <w:rPr>
                <w:rFonts w:hint="eastAsia" w:ascii="宋体" w:hAnsi="宋体" w:eastAsia="宋体" w:cs="宋体"/>
                <w:color w:val="auto"/>
                <w:kern w:val="0"/>
                <w:szCs w:val="21"/>
                <w:highlight w:val="none"/>
                <w:lang w:eastAsia="zh-CN" w:bidi="ar"/>
              </w:rPr>
              <w:t>技术人员协助</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bidi="ar"/>
              </w:rPr>
              <w:t>做好</w:t>
            </w:r>
            <w:r>
              <w:rPr>
                <w:rFonts w:hint="eastAsia" w:ascii="宋体" w:hAnsi="宋体" w:eastAsia="宋体" w:cs="宋体"/>
                <w:color w:val="auto"/>
                <w:kern w:val="0"/>
                <w:szCs w:val="21"/>
                <w:highlight w:val="none"/>
                <w:lang w:eastAsia="zh-CN" w:bidi="ar"/>
              </w:rPr>
              <w:t>值班工作</w:t>
            </w:r>
            <w:r>
              <w:rPr>
                <w:rFonts w:hint="eastAsia" w:ascii="宋体" w:hAnsi="宋体" w:eastAsia="宋体" w:cs="宋体"/>
                <w:color w:val="auto"/>
                <w:kern w:val="0"/>
                <w:szCs w:val="21"/>
                <w:highlight w:val="none"/>
                <w:lang w:bidi="ar"/>
              </w:rPr>
              <w:t>，保障重</w:t>
            </w:r>
            <w:r>
              <w:rPr>
                <w:rFonts w:hint="eastAsia" w:ascii="宋体" w:hAnsi="宋体" w:eastAsia="宋体" w:cs="宋体"/>
                <w:color w:val="auto"/>
                <w:kern w:val="0"/>
                <w:szCs w:val="21"/>
                <w:highlight w:val="none"/>
                <w:lang w:eastAsia="zh-CN" w:bidi="ar"/>
              </w:rPr>
              <w:t>要时期</w:t>
            </w:r>
            <w:r>
              <w:rPr>
                <w:rFonts w:hint="eastAsia" w:ascii="宋体" w:hAnsi="宋体" w:eastAsia="宋体" w:cs="宋体"/>
                <w:color w:val="auto"/>
                <w:kern w:val="0"/>
                <w:szCs w:val="21"/>
                <w:highlight w:val="none"/>
                <w:lang w:bidi="ar"/>
              </w:rPr>
              <w:t>的业务系统</w:t>
            </w:r>
            <w:r>
              <w:rPr>
                <w:rFonts w:hint="eastAsia" w:ascii="宋体" w:hAnsi="宋体" w:eastAsia="宋体" w:cs="宋体"/>
                <w:color w:val="auto"/>
                <w:kern w:val="0"/>
                <w:szCs w:val="21"/>
                <w:highlight w:val="none"/>
                <w:lang w:eastAsia="zh-CN" w:bidi="ar"/>
              </w:rPr>
              <w:t>和网络</w:t>
            </w:r>
            <w:r>
              <w:rPr>
                <w:rFonts w:hint="eastAsia" w:ascii="宋体" w:hAnsi="宋体" w:eastAsia="宋体" w:cs="宋体"/>
                <w:color w:val="auto"/>
                <w:kern w:val="0"/>
                <w:szCs w:val="21"/>
                <w:highlight w:val="none"/>
                <w:lang w:bidi="ar"/>
              </w:rPr>
              <w:t>的安全</w:t>
            </w:r>
            <w:r>
              <w:rPr>
                <w:rFonts w:hint="eastAsia" w:ascii="宋体" w:hAnsi="宋体" w:eastAsia="宋体" w:cs="宋体"/>
                <w:color w:val="auto"/>
                <w:kern w:val="0"/>
                <w:szCs w:val="21"/>
                <w:highlight w:val="none"/>
                <w:lang w:eastAsia="zh-CN" w:bidi="ar"/>
              </w:rPr>
              <w:t>稳定，并</w:t>
            </w:r>
            <w:r>
              <w:rPr>
                <w:rFonts w:hint="eastAsia" w:ascii="宋体" w:hAnsi="宋体" w:eastAsia="宋体" w:cs="宋体"/>
                <w:color w:val="auto"/>
                <w:kern w:val="0"/>
                <w:szCs w:val="21"/>
                <w:highlight w:val="none"/>
                <w:lang w:bidi="ar"/>
              </w:rPr>
              <w:t>根据</w:t>
            </w:r>
            <w:r>
              <w:rPr>
                <w:rFonts w:hint="eastAsia" w:ascii="宋体" w:hAnsi="宋体" w:eastAsia="宋体" w:cs="宋体"/>
                <w:color w:val="auto"/>
                <w:kern w:val="0"/>
                <w:szCs w:val="21"/>
                <w:highlight w:val="none"/>
                <w:lang w:eastAsia="zh-CN" w:bidi="ar"/>
              </w:rPr>
              <w:t>需要</w:t>
            </w:r>
            <w:r>
              <w:rPr>
                <w:rFonts w:hint="eastAsia" w:ascii="宋体" w:hAnsi="宋体" w:eastAsia="宋体" w:cs="宋体"/>
                <w:color w:val="auto"/>
                <w:kern w:val="0"/>
                <w:szCs w:val="21"/>
                <w:highlight w:val="none"/>
                <w:lang w:bidi="ar"/>
              </w:rPr>
              <w:t>完</w:t>
            </w:r>
            <w:r>
              <w:rPr>
                <w:rFonts w:hint="eastAsia" w:ascii="宋体" w:hAnsi="宋体" w:eastAsia="宋体" w:cs="宋体"/>
                <w:color w:val="auto"/>
                <w:kern w:val="0"/>
                <w:szCs w:val="21"/>
                <w:highlight w:val="none"/>
                <w:lang w:eastAsia="zh-CN" w:bidi="ar"/>
              </w:rPr>
              <w:t>善相关</w:t>
            </w:r>
            <w:r>
              <w:rPr>
                <w:rFonts w:hint="eastAsia" w:ascii="宋体" w:hAnsi="宋体" w:eastAsia="宋体" w:cs="宋体"/>
                <w:color w:val="auto"/>
                <w:kern w:val="0"/>
                <w:szCs w:val="21"/>
                <w:highlight w:val="none"/>
                <w:lang w:bidi="ar"/>
              </w:rPr>
              <w:t>的保障方案</w:t>
            </w:r>
            <w:r>
              <w:rPr>
                <w:rFonts w:hint="eastAsia" w:ascii="宋体" w:hAnsi="宋体" w:eastAsia="宋体" w:cs="宋体"/>
                <w:color w:val="auto"/>
                <w:kern w:val="0"/>
                <w:szCs w:val="21"/>
                <w:highlight w:val="none"/>
                <w:lang w:eastAsia="zh-CN" w:bidi="ar"/>
              </w:rPr>
              <w:t>。</w:t>
            </w:r>
          </w:p>
        </w:tc>
        <w:tc>
          <w:tcPr>
            <w:tcW w:w="2037" w:type="dxa"/>
            <w:vMerge w:val="restart"/>
            <w:shd w:val="clear" w:color="auto" w:fill="auto"/>
            <w:vAlign w:val="center"/>
          </w:tcPr>
          <w:p w14:paraId="2352A620">
            <w:pPr>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u w:val="none"/>
                <w:lang w:val="en-US" w:eastAsia="zh-CN"/>
              </w:rPr>
              <w:t>能够快速定位</w:t>
            </w:r>
            <w:r>
              <w:rPr>
                <w:rFonts w:hint="eastAsia" w:ascii="宋体" w:hAnsi="宋体" w:cs="宋体"/>
                <w:color w:val="000000"/>
                <w:sz w:val="21"/>
                <w:szCs w:val="21"/>
                <w:highlight w:val="none"/>
                <w:u w:val="none"/>
                <w:lang w:val="en-US" w:eastAsia="zh-CN"/>
              </w:rPr>
              <w:t>安全风险</w:t>
            </w:r>
            <w:r>
              <w:rPr>
                <w:rFonts w:hint="eastAsia" w:ascii="宋体" w:hAnsi="宋体" w:eastAsia="宋体" w:cs="宋体"/>
                <w:color w:val="000000"/>
                <w:sz w:val="21"/>
                <w:szCs w:val="21"/>
                <w:highlight w:val="none"/>
                <w:u w:val="none"/>
                <w:lang w:val="en-US" w:eastAsia="zh-CN"/>
              </w:rPr>
              <w:t>，在准确判断安全事件原因的基础上；提出基于安全事件整体安全解决方案；排除系统安全风险并协助追查事件来源、提出解决方案、协助后续处置，达到了针对客户业务系统能够快速定位重要业务系统，并进行溯源反制的能力</w:t>
            </w:r>
          </w:p>
        </w:tc>
      </w:tr>
      <w:tr w14:paraId="3A51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648" w:type="dxa"/>
            <w:vMerge w:val="continue"/>
            <w:shd w:val="clear" w:color="auto" w:fill="auto"/>
            <w:vAlign w:val="center"/>
          </w:tcPr>
          <w:p w14:paraId="3495DD72">
            <w:pPr>
              <w:widowControl/>
              <w:ind w:firstLine="0" w:firstLineChars="0"/>
              <w:jc w:val="left"/>
              <w:rPr>
                <w:highlight w:val="none"/>
              </w:rPr>
            </w:pPr>
          </w:p>
        </w:tc>
        <w:tc>
          <w:tcPr>
            <w:tcW w:w="1400" w:type="dxa"/>
            <w:vMerge w:val="continue"/>
            <w:shd w:val="clear" w:color="auto" w:fill="auto"/>
            <w:vAlign w:val="center"/>
          </w:tcPr>
          <w:p w14:paraId="369632E9">
            <w:pPr>
              <w:widowControl/>
              <w:ind w:firstLine="0" w:firstLineChars="0"/>
              <w:jc w:val="left"/>
              <w:rPr>
                <w:highlight w:val="none"/>
              </w:rPr>
            </w:pPr>
          </w:p>
        </w:tc>
        <w:tc>
          <w:tcPr>
            <w:tcW w:w="4533" w:type="dxa"/>
            <w:shd w:val="clear" w:color="auto" w:fill="auto"/>
            <w:vAlign w:val="center"/>
          </w:tcPr>
          <w:p w14:paraId="5B9CA0F2">
            <w:pPr>
              <w:widowControl/>
              <w:ind w:firstLine="0" w:firstLineChars="0"/>
              <w:jc w:val="left"/>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val="en-US" w:eastAsia="zh-CN" w:bidi="ar"/>
              </w:rPr>
              <w:t>2</w:t>
            </w:r>
            <w:r>
              <w:rPr>
                <w:rFonts w:hint="eastAsia" w:ascii="宋体" w:hAnsi="宋体" w:eastAsia="宋体" w:cs="宋体"/>
                <w:color w:val="auto"/>
                <w:kern w:val="0"/>
                <w:szCs w:val="21"/>
                <w:highlight w:val="none"/>
                <w:lang w:eastAsia="zh-CN" w:bidi="ar"/>
              </w:rPr>
              <w:t>）协助</w:t>
            </w:r>
            <w:r>
              <w:rPr>
                <w:rFonts w:hint="eastAsia" w:ascii="宋体" w:hAnsi="宋体" w:cs="宋体"/>
                <w:color w:val="auto"/>
                <w:kern w:val="0"/>
                <w:szCs w:val="21"/>
                <w:highlight w:val="none"/>
                <w:lang w:eastAsia="zh-CN" w:bidi="ar"/>
              </w:rPr>
              <w:t>医院</w:t>
            </w:r>
            <w:r>
              <w:rPr>
                <w:rFonts w:hint="eastAsia" w:ascii="宋体" w:hAnsi="宋体" w:eastAsia="宋体" w:cs="宋体"/>
                <w:color w:val="auto"/>
                <w:kern w:val="0"/>
                <w:szCs w:val="21"/>
                <w:highlight w:val="none"/>
                <w:lang w:val="en-US" w:eastAsia="zh-CN" w:bidi="ar"/>
              </w:rPr>
              <w:t>及时处置日常网络安全问题，</w:t>
            </w:r>
            <w:r>
              <w:rPr>
                <w:rFonts w:hint="eastAsia" w:ascii="宋体" w:hAnsi="宋体" w:eastAsia="宋体" w:cs="宋体"/>
                <w:color w:val="auto"/>
                <w:kern w:val="0"/>
                <w:szCs w:val="21"/>
                <w:highlight w:val="none"/>
                <w:lang w:bidi="ar"/>
              </w:rPr>
              <w:t>在指定时间内</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30分钟内响应，1小时到达现场，4小时内排除故障</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响应</w:t>
            </w:r>
            <w:r>
              <w:rPr>
                <w:rFonts w:hint="eastAsia" w:ascii="宋体" w:hAnsi="宋体" w:eastAsia="宋体" w:cs="宋体"/>
                <w:color w:val="auto"/>
                <w:kern w:val="0"/>
                <w:szCs w:val="21"/>
                <w:highlight w:val="none"/>
                <w:lang w:eastAsia="zh-CN" w:bidi="ar"/>
              </w:rPr>
              <w:t>和</w:t>
            </w:r>
            <w:r>
              <w:rPr>
                <w:rFonts w:hint="eastAsia" w:ascii="宋体" w:hAnsi="宋体" w:eastAsia="宋体" w:cs="宋体"/>
                <w:color w:val="auto"/>
                <w:kern w:val="0"/>
                <w:szCs w:val="21"/>
                <w:highlight w:val="none"/>
                <w:lang w:bidi="ar"/>
              </w:rPr>
              <w:t>处理</w:t>
            </w:r>
            <w:r>
              <w:rPr>
                <w:rFonts w:hint="eastAsia" w:ascii="宋体" w:hAnsi="宋体" w:eastAsia="宋体" w:cs="宋体"/>
                <w:color w:val="auto"/>
                <w:kern w:val="0"/>
                <w:szCs w:val="21"/>
                <w:highlight w:val="none"/>
                <w:lang w:eastAsia="zh-CN" w:bidi="ar"/>
              </w:rPr>
              <w:t>完成</w:t>
            </w:r>
            <w:r>
              <w:rPr>
                <w:rFonts w:hint="eastAsia" w:ascii="宋体" w:hAnsi="宋体" w:eastAsia="宋体" w:cs="宋体"/>
                <w:color w:val="auto"/>
                <w:kern w:val="0"/>
                <w:szCs w:val="21"/>
                <w:highlight w:val="none"/>
                <w:lang w:bidi="ar"/>
              </w:rPr>
              <w:t>应急事件</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包括故障查因、事件跟踪</w:t>
            </w:r>
            <w:r>
              <w:rPr>
                <w:rFonts w:hint="eastAsia" w:ascii="宋体" w:hAnsi="宋体" w:eastAsia="宋体" w:cs="宋体"/>
                <w:color w:val="auto"/>
                <w:kern w:val="0"/>
                <w:szCs w:val="21"/>
                <w:highlight w:val="none"/>
                <w:lang w:eastAsia="zh-CN" w:bidi="ar"/>
              </w:rPr>
              <w:t>、系统</w:t>
            </w:r>
            <w:r>
              <w:rPr>
                <w:rFonts w:hint="eastAsia" w:ascii="宋体" w:hAnsi="宋体" w:eastAsia="宋体" w:cs="宋体"/>
                <w:color w:val="auto"/>
                <w:kern w:val="0"/>
                <w:szCs w:val="21"/>
                <w:highlight w:val="none"/>
                <w:lang w:bidi="ar"/>
              </w:rPr>
              <w:t>恢复</w:t>
            </w:r>
            <w:r>
              <w:rPr>
                <w:rFonts w:hint="eastAsia" w:ascii="宋体" w:hAnsi="宋体" w:eastAsia="宋体" w:cs="宋体"/>
                <w:color w:val="auto"/>
                <w:kern w:val="0"/>
                <w:szCs w:val="21"/>
                <w:highlight w:val="none"/>
                <w:lang w:eastAsia="zh-CN" w:bidi="ar"/>
              </w:rPr>
              <w:t>，</w:t>
            </w:r>
            <w:r>
              <w:rPr>
                <w:rFonts w:hint="eastAsia" w:ascii="宋体" w:hAnsi="宋体" w:eastAsia="宋体" w:cs="宋体"/>
                <w:color w:val="auto"/>
                <w:kern w:val="0"/>
                <w:szCs w:val="21"/>
                <w:highlight w:val="none"/>
                <w:lang w:bidi="ar"/>
              </w:rPr>
              <w:t>使</w:t>
            </w:r>
            <w:r>
              <w:rPr>
                <w:rFonts w:hint="eastAsia" w:ascii="宋体" w:hAnsi="宋体" w:eastAsia="宋体" w:cs="宋体"/>
                <w:color w:val="auto"/>
                <w:kern w:val="0"/>
                <w:szCs w:val="21"/>
                <w:highlight w:val="none"/>
                <w:lang w:eastAsia="zh-CN" w:bidi="ar"/>
              </w:rPr>
              <w:t>网络和信息系统</w:t>
            </w:r>
            <w:r>
              <w:rPr>
                <w:rFonts w:hint="eastAsia" w:ascii="宋体" w:hAnsi="宋体" w:eastAsia="宋体" w:cs="宋体"/>
                <w:color w:val="auto"/>
                <w:kern w:val="0"/>
                <w:szCs w:val="21"/>
                <w:highlight w:val="none"/>
                <w:lang w:bidi="ar"/>
              </w:rPr>
              <w:t>在最短时间内恢复正常运作</w:t>
            </w:r>
            <w:r>
              <w:rPr>
                <w:rFonts w:hint="eastAsia" w:ascii="宋体" w:hAnsi="宋体" w:eastAsia="宋体" w:cs="宋体"/>
                <w:color w:val="auto"/>
                <w:kern w:val="0"/>
                <w:szCs w:val="21"/>
                <w:highlight w:val="none"/>
                <w:lang w:eastAsia="zh-CN" w:bidi="ar"/>
              </w:rPr>
              <w:t>，根据出现的事件，输出相关排查报告。</w:t>
            </w:r>
          </w:p>
        </w:tc>
        <w:tc>
          <w:tcPr>
            <w:tcW w:w="2037" w:type="dxa"/>
            <w:vMerge w:val="continue"/>
            <w:shd w:val="clear" w:color="auto" w:fill="auto"/>
            <w:vAlign w:val="center"/>
          </w:tcPr>
          <w:p w14:paraId="57AC1975">
            <w:pPr>
              <w:widowControl/>
              <w:ind w:firstLine="0" w:firstLineChars="0"/>
              <w:jc w:val="left"/>
              <w:rPr>
                <w:rFonts w:hint="eastAsia" w:ascii="宋体" w:hAnsi="宋体" w:eastAsia="宋体" w:cs="宋体"/>
                <w:color w:val="auto"/>
                <w:kern w:val="0"/>
                <w:szCs w:val="21"/>
                <w:highlight w:val="none"/>
                <w:lang w:eastAsia="zh-CN" w:bidi="ar"/>
              </w:rPr>
            </w:pPr>
          </w:p>
        </w:tc>
      </w:tr>
      <w:tr w14:paraId="01AE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648" w:type="dxa"/>
            <w:shd w:val="clear" w:color="auto" w:fill="auto"/>
            <w:vAlign w:val="center"/>
          </w:tcPr>
          <w:p w14:paraId="2A0D18A9">
            <w:pPr>
              <w:widowControl/>
              <w:ind w:firstLine="0" w:firstLineChars="0"/>
              <w:jc w:val="center"/>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5</w:t>
            </w:r>
          </w:p>
        </w:tc>
        <w:tc>
          <w:tcPr>
            <w:tcW w:w="1400" w:type="dxa"/>
            <w:shd w:val="clear" w:color="auto" w:fill="auto"/>
            <w:vAlign w:val="center"/>
          </w:tcPr>
          <w:p w14:paraId="6F819C01">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应急</w:t>
            </w:r>
            <w:r>
              <w:rPr>
                <w:rFonts w:hint="eastAsia" w:ascii="宋体" w:hAnsi="宋体" w:cs="宋体"/>
                <w:color w:val="000000"/>
                <w:kern w:val="0"/>
                <w:sz w:val="21"/>
                <w:szCs w:val="21"/>
                <w:highlight w:val="none"/>
                <w:lang w:val="en-US" w:eastAsia="zh-CN"/>
              </w:rPr>
              <w:t>攻防</w:t>
            </w:r>
            <w:r>
              <w:rPr>
                <w:rFonts w:hint="eastAsia" w:ascii="宋体" w:hAnsi="宋体" w:eastAsia="宋体" w:cs="宋体"/>
                <w:color w:val="000000"/>
                <w:kern w:val="0"/>
                <w:sz w:val="21"/>
                <w:szCs w:val="21"/>
                <w:highlight w:val="none"/>
              </w:rPr>
              <w:t>演练服务</w:t>
            </w:r>
          </w:p>
        </w:tc>
        <w:tc>
          <w:tcPr>
            <w:tcW w:w="4533" w:type="dxa"/>
            <w:shd w:val="clear" w:color="auto" w:fill="auto"/>
            <w:vAlign w:val="center"/>
          </w:tcPr>
          <w:p w14:paraId="28299885">
            <w:pPr>
              <w:widowControl/>
              <w:ind w:firstLine="0" w:firstLineChars="0"/>
              <w:jc w:val="left"/>
              <w:rPr>
                <w:rFonts w:hint="default" w:ascii="宋体" w:hAnsi="宋体" w:eastAsia="宋体" w:cs="宋体"/>
                <w:color w:val="000000"/>
                <w:kern w:val="0"/>
                <w:sz w:val="21"/>
                <w:szCs w:val="21"/>
                <w:highlight w:val="none"/>
                <w:lang w:val="en-US"/>
              </w:rPr>
            </w:pPr>
            <w:r>
              <w:rPr>
                <w:rFonts w:hint="eastAsia" w:ascii="宋体" w:hAnsi="宋体" w:eastAsia="宋体" w:cs="宋体"/>
                <w:color w:val="auto"/>
                <w:kern w:val="0"/>
                <w:szCs w:val="21"/>
                <w:highlight w:val="none"/>
                <w:lang w:val="en-US" w:eastAsia="zh-CN" w:bidi="ar"/>
              </w:rPr>
              <w:t>为</w:t>
            </w:r>
            <w:r>
              <w:rPr>
                <w:rFonts w:hint="eastAsia" w:ascii="宋体" w:hAnsi="宋体" w:cs="宋体"/>
                <w:color w:val="auto"/>
                <w:kern w:val="0"/>
                <w:szCs w:val="21"/>
                <w:highlight w:val="none"/>
                <w:lang w:val="en-US" w:eastAsia="zh-CN" w:bidi="ar"/>
              </w:rPr>
              <w:t>医院</w:t>
            </w:r>
            <w:r>
              <w:rPr>
                <w:rFonts w:hint="eastAsia" w:ascii="宋体" w:hAnsi="宋体" w:eastAsia="宋体" w:cs="宋体"/>
                <w:color w:val="auto"/>
                <w:kern w:val="0"/>
                <w:szCs w:val="21"/>
                <w:highlight w:val="none"/>
                <w:lang w:val="en-US" w:eastAsia="zh-CN" w:bidi="ar"/>
              </w:rPr>
              <w:t>系统</w:t>
            </w:r>
            <w:r>
              <w:rPr>
                <w:rFonts w:hint="eastAsia" w:ascii="宋体" w:hAnsi="宋体" w:cs="宋体"/>
                <w:color w:val="auto"/>
                <w:kern w:val="0"/>
                <w:szCs w:val="21"/>
                <w:highlight w:val="none"/>
                <w:lang w:val="en-US" w:eastAsia="zh-CN" w:bidi="ar"/>
              </w:rPr>
              <w:t>开展网络应急攻防演练服务。</w:t>
            </w:r>
          </w:p>
        </w:tc>
        <w:tc>
          <w:tcPr>
            <w:tcW w:w="2037" w:type="dxa"/>
            <w:shd w:val="clear" w:color="auto" w:fill="auto"/>
            <w:vAlign w:val="center"/>
          </w:tcPr>
          <w:p w14:paraId="713AAA0A">
            <w:pP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通过演练能够发现医院系统网络安全存在的薄弱环节（具体演练时间以采购人发出通知为准）</w:t>
            </w:r>
          </w:p>
        </w:tc>
      </w:tr>
      <w:tr w14:paraId="5036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648" w:type="dxa"/>
            <w:shd w:val="clear" w:color="auto" w:fill="auto"/>
            <w:vAlign w:val="center"/>
          </w:tcPr>
          <w:p w14:paraId="2D05D4DD">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1400" w:type="dxa"/>
            <w:shd w:val="clear" w:color="auto" w:fill="auto"/>
            <w:vAlign w:val="center"/>
          </w:tcPr>
          <w:p w14:paraId="02D6B9E5">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渗透测试服务</w:t>
            </w:r>
          </w:p>
        </w:tc>
        <w:tc>
          <w:tcPr>
            <w:tcW w:w="4533" w:type="dxa"/>
            <w:shd w:val="clear" w:color="auto" w:fill="auto"/>
            <w:vAlign w:val="center"/>
          </w:tcPr>
          <w:p w14:paraId="78DEB837">
            <w:pPr>
              <w:widowControl/>
              <w:ind w:firstLine="0" w:firstLine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以模拟黑客方式对互联网应用系统进行渗透测试，</w:t>
            </w:r>
            <w:r>
              <w:rPr>
                <w:rFonts w:hint="eastAsia" w:ascii="宋体" w:hAnsi="宋体" w:eastAsia="宋体" w:cs="宋体"/>
                <w:color w:val="000000"/>
                <w:kern w:val="0"/>
                <w:sz w:val="21"/>
                <w:szCs w:val="21"/>
                <w:highlight w:val="none"/>
                <w:lang w:val="en-US" w:eastAsia="zh-CN"/>
              </w:rPr>
              <w:t>找出安全风险，通过渗透测试发现系统不同程度的漏洞并做到了及时修补</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每年对</w:t>
            </w:r>
            <w:r>
              <w:rPr>
                <w:rFonts w:hint="eastAsia" w:ascii="宋体" w:hAnsi="宋体" w:cs="宋体"/>
                <w:color w:val="000000"/>
                <w:kern w:val="0"/>
                <w:sz w:val="21"/>
                <w:szCs w:val="21"/>
                <w:highlight w:val="none"/>
                <w:lang w:val="en-US" w:eastAsia="zh-CN"/>
              </w:rPr>
              <w:t>医院</w:t>
            </w:r>
            <w:r>
              <w:rPr>
                <w:rFonts w:hint="eastAsia" w:ascii="宋体" w:hAnsi="宋体" w:eastAsia="宋体" w:cs="宋体"/>
                <w:color w:val="000000"/>
                <w:kern w:val="0"/>
                <w:sz w:val="21"/>
                <w:szCs w:val="21"/>
                <w:highlight w:val="none"/>
                <w:lang w:val="en-US" w:eastAsia="zh-CN"/>
              </w:rPr>
              <w:t>系统进行渗透与攻击性监测，并出具相关报告。</w:t>
            </w:r>
          </w:p>
        </w:tc>
        <w:tc>
          <w:tcPr>
            <w:tcW w:w="2037" w:type="dxa"/>
            <w:shd w:val="clear" w:color="auto" w:fill="auto"/>
            <w:vAlign w:val="center"/>
          </w:tcPr>
          <w:p w14:paraId="4F4D6DF2">
            <w:pPr>
              <w:widowControl/>
              <w:ind w:firstLine="0" w:firstLineChars="0"/>
              <w:jc w:val="left"/>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auto"/>
                <w:kern w:val="0"/>
                <w:szCs w:val="21"/>
                <w:highlight w:val="none"/>
                <w:lang w:val="en-US" w:eastAsia="zh-CN" w:bidi="ar"/>
              </w:rPr>
              <w:t>每年对</w:t>
            </w:r>
            <w:r>
              <w:rPr>
                <w:rFonts w:hint="eastAsia" w:ascii="宋体" w:hAnsi="宋体" w:cs="宋体"/>
                <w:color w:val="auto"/>
                <w:kern w:val="0"/>
                <w:szCs w:val="21"/>
                <w:highlight w:val="none"/>
                <w:lang w:val="en-US" w:eastAsia="zh-CN" w:bidi="ar"/>
              </w:rPr>
              <w:t>医院</w:t>
            </w:r>
            <w:r>
              <w:rPr>
                <w:rFonts w:hint="eastAsia" w:ascii="宋体" w:hAnsi="宋体" w:eastAsia="宋体" w:cs="宋体"/>
                <w:color w:val="auto"/>
                <w:kern w:val="0"/>
                <w:szCs w:val="21"/>
                <w:highlight w:val="none"/>
                <w:lang w:val="en-US" w:eastAsia="zh-CN" w:bidi="ar"/>
              </w:rPr>
              <w:t>至少</w:t>
            </w:r>
            <w:r>
              <w:rPr>
                <w:rFonts w:hint="eastAsia" w:ascii="宋体" w:hAnsi="宋体" w:cs="宋体"/>
                <w:color w:val="auto"/>
                <w:kern w:val="0"/>
                <w:szCs w:val="21"/>
                <w:highlight w:val="none"/>
                <w:lang w:val="en-US" w:eastAsia="zh-CN" w:bidi="ar"/>
              </w:rPr>
              <w:t>4</w:t>
            </w:r>
            <w:r>
              <w:rPr>
                <w:rFonts w:hint="eastAsia" w:ascii="宋体" w:hAnsi="宋体" w:eastAsia="宋体" w:cs="宋体"/>
                <w:color w:val="auto"/>
                <w:kern w:val="0"/>
                <w:szCs w:val="21"/>
                <w:highlight w:val="none"/>
                <w:lang w:val="en-US" w:eastAsia="zh-CN" w:bidi="ar"/>
              </w:rPr>
              <w:t>个系统进行渗透与攻击性监测</w:t>
            </w:r>
          </w:p>
        </w:tc>
      </w:tr>
      <w:tr w14:paraId="6B7B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648" w:type="dxa"/>
            <w:shd w:val="clear" w:color="auto" w:fill="auto"/>
            <w:vAlign w:val="center"/>
          </w:tcPr>
          <w:p w14:paraId="604D203A">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1400" w:type="dxa"/>
            <w:shd w:val="clear" w:color="auto" w:fill="auto"/>
            <w:vAlign w:val="center"/>
          </w:tcPr>
          <w:p w14:paraId="0E40867A">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医院官网、</w:t>
            </w:r>
            <w:r>
              <w:rPr>
                <w:rFonts w:hint="eastAsia" w:ascii="宋体" w:hAnsi="宋体" w:eastAsia="宋体" w:cs="宋体"/>
                <w:color w:val="000000"/>
                <w:kern w:val="0"/>
                <w:sz w:val="21"/>
                <w:szCs w:val="21"/>
                <w:highlight w:val="none"/>
              </w:rPr>
              <w:t>APP</w:t>
            </w:r>
            <w:r>
              <w:rPr>
                <w:rFonts w:hint="eastAsia" w:ascii="宋体" w:hAnsi="宋体" w:cs="宋体"/>
                <w:color w:val="000000"/>
                <w:kern w:val="0"/>
                <w:sz w:val="21"/>
                <w:szCs w:val="21"/>
                <w:highlight w:val="none"/>
                <w:lang w:val="en-US" w:eastAsia="zh-CN"/>
              </w:rPr>
              <w:t>/小程序</w:t>
            </w:r>
            <w:r>
              <w:rPr>
                <w:rFonts w:hint="eastAsia" w:ascii="宋体" w:hAnsi="宋体" w:eastAsia="宋体" w:cs="宋体"/>
                <w:color w:val="000000"/>
                <w:kern w:val="0"/>
                <w:sz w:val="21"/>
                <w:szCs w:val="21"/>
                <w:highlight w:val="none"/>
              </w:rPr>
              <w:t>深度评估服务</w:t>
            </w:r>
          </w:p>
        </w:tc>
        <w:tc>
          <w:tcPr>
            <w:tcW w:w="4533" w:type="dxa"/>
            <w:shd w:val="clear" w:color="auto" w:fill="auto"/>
            <w:vAlign w:val="center"/>
          </w:tcPr>
          <w:p w14:paraId="321554D9">
            <w:pPr>
              <w:widowControl/>
              <w:ind w:firstLine="0" w:firstLineChars="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主要内容为</w:t>
            </w:r>
            <w:r>
              <w:rPr>
                <w:rFonts w:hint="eastAsia" w:ascii="宋体" w:hAnsi="宋体" w:cs="宋体"/>
                <w:color w:val="000000"/>
                <w:kern w:val="0"/>
                <w:sz w:val="21"/>
                <w:szCs w:val="21"/>
                <w:highlight w:val="none"/>
                <w:lang w:val="en-US" w:eastAsia="zh-CN"/>
              </w:rPr>
              <w:t>医院官网、APP、粤政易及微信等平台上的小程序</w:t>
            </w:r>
            <w:r>
              <w:rPr>
                <w:rFonts w:hint="eastAsia" w:ascii="宋体" w:hAnsi="宋体" w:eastAsia="宋体" w:cs="宋体"/>
                <w:color w:val="000000"/>
                <w:kern w:val="0"/>
                <w:sz w:val="21"/>
                <w:szCs w:val="21"/>
                <w:highlight w:val="none"/>
                <w:lang w:val="en-US" w:eastAsia="zh-CN"/>
              </w:rPr>
              <w:t>按常见的漏洞类型进行测试，达到了找出不合规API调用、漏洞类型等并修复，降低针对移动端网络安全风险</w:t>
            </w:r>
            <w:r>
              <w:rPr>
                <w:rFonts w:hint="eastAsia" w:ascii="宋体" w:hAnsi="宋体" w:eastAsia="宋体" w:cs="宋体"/>
                <w:color w:val="000000"/>
                <w:kern w:val="0"/>
                <w:sz w:val="21"/>
                <w:szCs w:val="21"/>
                <w:highlight w:val="none"/>
              </w:rPr>
              <w:t>。</w:t>
            </w:r>
          </w:p>
        </w:tc>
        <w:tc>
          <w:tcPr>
            <w:tcW w:w="2037" w:type="dxa"/>
            <w:shd w:val="clear" w:color="auto" w:fill="auto"/>
            <w:vAlign w:val="center"/>
          </w:tcPr>
          <w:p w14:paraId="6DF89A72">
            <w:pP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找出</w:t>
            </w:r>
            <w:r>
              <w:rPr>
                <w:rFonts w:hint="eastAsia" w:ascii="宋体" w:hAnsi="宋体" w:eastAsia="宋体" w:cs="宋体"/>
                <w:color w:val="000000"/>
                <w:kern w:val="0"/>
                <w:sz w:val="21"/>
                <w:szCs w:val="21"/>
                <w:highlight w:val="none"/>
              </w:rPr>
              <w:t>SQL注入漏洞</w:t>
            </w:r>
            <w:r>
              <w:rPr>
                <w:rFonts w:hint="eastAsia" w:ascii="宋体" w:hAnsi="宋体" w:eastAsia="宋体" w:cs="宋体"/>
                <w:color w:val="000000"/>
                <w:kern w:val="0"/>
                <w:sz w:val="21"/>
                <w:szCs w:val="21"/>
                <w:highlight w:val="none"/>
                <w:lang w:val="en-US" w:eastAsia="zh-CN"/>
              </w:rPr>
              <w:t>类型</w:t>
            </w:r>
            <w:r>
              <w:rPr>
                <w:rFonts w:hint="eastAsia" w:ascii="宋体" w:hAnsi="宋体" w:eastAsia="宋体" w:cs="宋体"/>
                <w:color w:val="000000"/>
                <w:kern w:val="0"/>
                <w:sz w:val="21"/>
                <w:szCs w:val="21"/>
                <w:highlight w:val="none"/>
              </w:rPr>
              <w:t>、跨站脚本漏洞</w:t>
            </w:r>
            <w:r>
              <w:rPr>
                <w:rFonts w:hint="eastAsia" w:ascii="宋体" w:hAnsi="宋体" w:eastAsia="宋体" w:cs="宋体"/>
                <w:color w:val="000000"/>
                <w:kern w:val="0"/>
                <w:sz w:val="21"/>
                <w:szCs w:val="21"/>
                <w:highlight w:val="none"/>
                <w:lang w:val="en-US" w:eastAsia="zh-CN"/>
              </w:rPr>
              <w:t>类型、弱口令漏洞类型</w:t>
            </w:r>
          </w:p>
        </w:tc>
      </w:tr>
      <w:tr w14:paraId="2986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8" w:type="dxa"/>
            <w:shd w:val="clear" w:color="auto" w:fill="auto"/>
            <w:vAlign w:val="center"/>
          </w:tcPr>
          <w:p w14:paraId="1EA4F49B">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1400" w:type="dxa"/>
            <w:shd w:val="clear" w:color="auto" w:fill="auto"/>
            <w:vAlign w:val="center"/>
          </w:tcPr>
          <w:p w14:paraId="72EF595A">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安全培训服务</w:t>
            </w:r>
          </w:p>
        </w:tc>
        <w:tc>
          <w:tcPr>
            <w:tcW w:w="4533" w:type="dxa"/>
            <w:shd w:val="clear" w:color="auto" w:fill="auto"/>
            <w:vAlign w:val="center"/>
          </w:tcPr>
          <w:p w14:paraId="72CBD7EB">
            <w:pPr>
              <w:widowControl/>
              <w:ind w:firstLine="0" w:firstLineChars="0"/>
              <w:jc w:val="left"/>
              <w:rPr>
                <w:rFonts w:hint="eastAsia" w:ascii="宋体" w:hAnsi="宋体" w:eastAsia="宋体" w:cs="宋体"/>
                <w:color w:val="000000"/>
                <w:kern w:val="0"/>
                <w:sz w:val="21"/>
                <w:szCs w:val="21"/>
                <w:highlight w:val="none"/>
                <w:lang w:val="en-US" w:eastAsia="zh-CN"/>
              </w:rPr>
            </w:pPr>
            <w:r>
              <w:rPr>
                <w:rFonts w:hint="eastAsia" w:ascii="宋体" w:hAnsi="宋体" w:cs="宋体"/>
                <w:color w:val="000000"/>
                <w:sz w:val="21"/>
                <w:szCs w:val="21"/>
                <w:highlight w:val="none"/>
                <w:u w:val="none"/>
                <w:lang w:val="en-US" w:eastAsia="zh-CN"/>
              </w:rPr>
              <w:t>开展线下网络安全培训两天，人数不低于600人，培训内容包括但不限于网络安全、软件正版化、关键信息基础设施等内容。</w:t>
            </w:r>
          </w:p>
        </w:tc>
        <w:tc>
          <w:tcPr>
            <w:tcW w:w="2037" w:type="dxa"/>
            <w:shd w:val="clear" w:color="auto" w:fill="auto"/>
            <w:vAlign w:val="center"/>
          </w:tcPr>
          <w:p w14:paraId="0E8E1841">
            <w:pPr>
              <w:rPr>
                <w:rFonts w:hint="eastAsia" w:ascii="宋体" w:hAnsi="宋体" w:eastAsia="宋体" w:cs="宋体"/>
                <w:color w:val="000000"/>
                <w:kern w:val="0"/>
                <w:sz w:val="21"/>
                <w:szCs w:val="21"/>
                <w:highlight w:val="none"/>
                <w:lang w:val="en-US" w:eastAsia="zh-CN"/>
              </w:rPr>
            </w:pPr>
            <w:r>
              <w:rPr>
                <w:rFonts w:hint="eastAsia" w:ascii="宋体" w:hAnsi="宋体" w:cs="宋体"/>
                <w:color w:val="000000"/>
                <w:sz w:val="21"/>
                <w:szCs w:val="21"/>
                <w:highlight w:val="none"/>
                <w:u w:val="none"/>
                <w:lang w:val="en-US" w:eastAsia="zh-CN"/>
              </w:rPr>
              <w:t>提高医院工作人员网络安全意识，全面提升相关单位网络和信息系统的安全管理水平</w:t>
            </w:r>
          </w:p>
        </w:tc>
      </w:tr>
      <w:tr w14:paraId="3D53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jc w:val="center"/>
        </w:trPr>
        <w:tc>
          <w:tcPr>
            <w:tcW w:w="648" w:type="dxa"/>
            <w:shd w:val="clear" w:color="auto" w:fill="auto"/>
            <w:vAlign w:val="center"/>
          </w:tcPr>
          <w:p w14:paraId="097A0B3E">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1400" w:type="dxa"/>
            <w:shd w:val="clear" w:color="auto" w:fill="auto"/>
            <w:vAlign w:val="center"/>
          </w:tcPr>
          <w:p w14:paraId="3829AE2D">
            <w:pPr>
              <w:widowControl/>
              <w:ind w:firstLine="0" w:firstLineChars="0"/>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安全</w:t>
            </w:r>
            <w:r>
              <w:rPr>
                <w:rFonts w:hint="eastAsia" w:ascii="宋体" w:hAnsi="宋体" w:eastAsia="宋体" w:cs="宋体"/>
                <w:color w:val="000000"/>
                <w:kern w:val="0"/>
                <w:sz w:val="21"/>
                <w:szCs w:val="21"/>
                <w:highlight w:val="none"/>
                <w:lang w:val="en-US" w:eastAsia="zh-CN"/>
              </w:rPr>
              <w:t>现场</w:t>
            </w:r>
            <w:r>
              <w:rPr>
                <w:rFonts w:hint="eastAsia" w:ascii="宋体" w:hAnsi="宋体" w:eastAsia="宋体" w:cs="宋体"/>
                <w:color w:val="000000"/>
                <w:kern w:val="0"/>
                <w:sz w:val="21"/>
                <w:szCs w:val="21"/>
                <w:highlight w:val="none"/>
              </w:rPr>
              <w:t>服务</w:t>
            </w:r>
          </w:p>
        </w:tc>
        <w:tc>
          <w:tcPr>
            <w:tcW w:w="4533" w:type="dxa"/>
            <w:shd w:val="clear" w:color="auto" w:fill="auto"/>
            <w:vAlign w:val="center"/>
          </w:tcPr>
          <w:p w14:paraId="293E1FFA">
            <w:pPr>
              <w:widowControl/>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现场</w:t>
            </w:r>
            <w:r>
              <w:rPr>
                <w:rFonts w:hint="eastAsia" w:ascii="宋体" w:hAnsi="宋体" w:eastAsia="宋体" w:cs="宋体"/>
                <w:color w:val="000000" w:themeColor="text1"/>
                <w:kern w:val="0"/>
                <w:sz w:val="21"/>
                <w:szCs w:val="21"/>
                <w:highlight w:val="none"/>
                <w14:textFill>
                  <w14:solidFill>
                    <w14:schemeClr w14:val="tx1"/>
                  </w14:solidFill>
                </w14:textFill>
              </w:rPr>
              <w:t>服务是</w:t>
            </w:r>
            <w:r>
              <w:rPr>
                <w:rFonts w:hint="eastAsia" w:ascii="宋体" w:hAnsi="宋体" w:cs="宋体"/>
                <w:color w:val="000000" w:themeColor="text1"/>
                <w:kern w:val="0"/>
                <w:sz w:val="21"/>
                <w:szCs w:val="21"/>
                <w:highlight w:val="none"/>
                <w:lang w:val="en-US" w:eastAsia="zh-CN"/>
                <w14:textFill>
                  <w14:solidFill>
                    <w14:schemeClr w14:val="tx1"/>
                  </w14:solidFill>
                </w14:textFill>
              </w:rPr>
              <w:t>日常</w:t>
            </w:r>
            <w:r>
              <w:rPr>
                <w:rFonts w:hint="eastAsia" w:ascii="宋体" w:hAnsi="宋体" w:eastAsia="宋体" w:cs="宋体"/>
                <w:color w:val="000000" w:themeColor="text1"/>
                <w:kern w:val="0"/>
                <w:sz w:val="21"/>
                <w:szCs w:val="21"/>
                <w:highlight w:val="none"/>
                <w14:textFill>
                  <w14:solidFill>
                    <w14:schemeClr w14:val="tx1"/>
                  </w14:solidFill>
                </w14:textFill>
              </w:rPr>
              <w:t>由</w:t>
            </w:r>
            <w:r>
              <w:rPr>
                <w:rFonts w:hint="eastAsia" w:ascii="宋体" w:hAnsi="宋体" w:cs="宋体"/>
                <w:color w:val="000000" w:themeColor="text1"/>
                <w:kern w:val="0"/>
                <w:sz w:val="21"/>
                <w:szCs w:val="21"/>
                <w:highlight w:val="none"/>
                <w:lang w:val="en-US" w:eastAsia="zh-CN"/>
                <w14:textFill>
                  <w14:solidFill>
                    <w14:schemeClr w14:val="tx1"/>
                  </w14:solidFill>
                </w14:textFill>
              </w:rPr>
              <w:t>不少于1名</w:t>
            </w:r>
            <w:r>
              <w:rPr>
                <w:rFonts w:hint="eastAsia" w:ascii="宋体" w:hAnsi="宋体" w:eastAsia="宋体" w:cs="宋体"/>
                <w:color w:val="000000" w:themeColor="text1"/>
                <w:kern w:val="0"/>
                <w:sz w:val="21"/>
                <w:szCs w:val="21"/>
                <w:highlight w:val="none"/>
                <w14:textFill>
                  <w14:solidFill>
                    <w14:schemeClr w14:val="tx1"/>
                  </w14:solidFill>
                </w14:textFill>
              </w:rPr>
              <w:t>专业安全人员</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在</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14:textFill>
                  <w14:solidFill>
                    <w14:schemeClr w14:val="tx1"/>
                  </w14:solidFill>
                </w14:textFill>
              </w:rPr>
              <w:t>办公场所，提供广东省水利厅安全相关</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安全</w:t>
            </w:r>
            <w:r>
              <w:rPr>
                <w:rFonts w:hint="eastAsia" w:ascii="宋体" w:hAnsi="宋体" w:eastAsia="宋体" w:cs="宋体"/>
                <w:color w:val="000000" w:themeColor="text1"/>
                <w:kern w:val="0"/>
                <w:sz w:val="21"/>
                <w:szCs w:val="21"/>
                <w:highlight w:val="none"/>
                <w14:textFill>
                  <w14:solidFill>
                    <w14:schemeClr w14:val="tx1"/>
                  </w14:solidFill>
                </w14:textFill>
              </w:rPr>
              <w:t>业务的运维工作，定期对系统进行安全巡检，发现系统存在的风险，提供及时的安全风险处置。</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现场</w:t>
            </w:r>
            <w:r>
              <w:rPr>
                <w:rFonts w:hint="eastAsia" w:ascii="宋体" w:hAnsi="宋体" w:eastAsia="宋体" w:cs="宋体"/>
                <w:color w:val="000000" w:themeColor="text1"/>
                <w:kern w:val="0"/>
                <w:sz w:val="21"/>
                <w:szCs w:val="21"/>
                <w:highlight w:val="none"/>
                <w14:textFill>
                  <w14:solidFill>
                    <w14:schemeClr w14:val="tx1"/>
                  </w14:solidFill>
                </w14:textFill>
              </w:rPr>
              <w:t>人员需具备信息安全相关资质证书，从事信息安全相关工作3年以上工作经验。</w:t>
            </w:r>
          </w:p>
        </w:tc>
        <w:tc>
          <w:tcPr>
            <w:tcW w:w="2037" w:type="dxa"/>
            <w:shd w:val="clear" w:color="auto" w:fill="auto"/>
            <w:vAlign w:val="center"/>
          </w:tcPr>
          <w:p w14:paraId="5699CE7B">
            <w:pPr>
              <w:widowControl/>
              <w:ind w:firstLine="0" w:firstLineChars="0"/>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协助加强网络安全日常监测</w:t>
            </w:r>
          </w:p>
        </w:tc>
      </w:tr>
      <w:tr w14:paraId="340F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jc w:val="center"/>
        </w:trPr>
        <w:tc>
          <w:tcPr>
            <w:tcW w:w="648" w:type="dxa"/>
            <w:shd w:val="clear" w:color="auto" w:fill="auto"/>
            <w:vAlign w:val="center"/>
          </w:tcPr>
          <w:p w14:paraId="3FB7E6A4">
            <w:pPr>
              <w:widowControl/>
              <w:ind w:firstLine="0" w:firstLineChars="0"/>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w:t>
            </w:r>
          </w:p>
        </w:tc>
        <w:tc>
          <w:tcPr>
            <w:tcW w:w="1400" w:type="dxa"/>
            <w:shd w:val="clear" w:color="auto" w:fill="auto"/>
            <w:vAlign w:val="center"/>
          </w:tcPr>
          <w:p w14:paraId="020A3A04">
            <w:pPr>
              <w:widowControl/>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应急护网服务</w:t>
            </w:r>
          </w:p>
        </w:tc>
        <w:tc>
          <w:tcPr>
            <w:tcW w:w="4533" w:type="dxa"/>
            <w:shd w:val="clear" w:color="auto" w:fill="auto"/>
            <w:vAlign w:val="center"/>
          </w:tcPr>
          <w:p w14:paraId="6B7C02D6">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协助</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完成国家</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eastAsia="zh-CN"/>
                <w14:textFill>
                  <w14:solidFill>
                    <w14:schemeClr w14:val="tx1"/>
                  </w14:solidFill>
                </w14:textFill>
              </w:rPr>
              <w:t>省</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市</w:t>
            </w:r>
            <w:r>
              <w:rPr>
                <w:rFonts w:hint="eastAsia" w:ascii="宋体" w:hAnsi="宋体" w:eastAsia="宋体" w:cs="宋体"/>
                <w:color w:val="000000" w:themeColor="text1"/>
                <w:kern w:val="0"/>
                <w:sz w:val="21"/>
                <w:szCs w:val="21"/>
                <w:highlight w:val="none"/>
                <w:lang w:eastAsia="zh-CN"/>
                <w14:textFill>
                  <w14:solidFill>
                    <w14:schemeClr w14:val="tx1"/>
                  </w14:solidFill>
                </w14:textFill>
              </w:rPr>
              <w:t>网络安全管理部门组织的网络安全攻防演练防守工作，加派人员和设备强化</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14:textFill>
                  <w14:solidFill>
                    <w14:schemeClr w14:val="tx1"/>
                  </w14:solidFill>
                </w14:textFill>
              </w:rPr>
              <w:t>网络安全开展应急护网演练防守</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和值守</w:t>
            </w:r>
            <w:r>
              <w:rPr>
                <w:rFonts w:hint="eastAsia" w:ascii="宋体" w:hAnsi="宋体" w:eastAsia="宋体" w:cs="宋体"/>
                <w:color w:val="000000" w:themeColor="text1"/>
                <w:kern w:val="0"/>
                <w:sz w:val="21"/>
                <w:szCs w:val="21"/>
                <w:highlight w:val="none"/>
                <w14:textFill>
                  <w14:solidFill>
                    <w14:schemeClr w14:val="tx1"/>
                  </w14:solidFill>
                </w14:textFill>
              </w:rPr>
              <w:t>等</w:t>
            </w:r>
            <w:r>
              <w:rPr>
                <w:rFonts w:hint="eastAsia" w:ascii="宋体" w:hAnsi="宋体" w:eastAsia="宋体" w:cs="宋体"/>
                <w:color w:val="000000" w:themeColor="text1"/>
                <w:kern w:val="0"/>
                <w:sz w:val="21"/>
                <w:szCs w:val="21"/>
                <w:highlight w:val="none"/>
                <w:lang w:eastAsia="zh-CN"/>
                <w14:textFill>
                  <w14:solidFill>
                    <w14:schemeClr w14:val="tx1"/>
                  </w14:solidFill>
                </w14:textFill>
              </w:rPr>
              <w:t>相关</w:t>
            </w:r>
            <w:r>
              <w:rPr>
                <w:rFonts w:hint="eastAsia" w:ascii="宋体" w:hAnsi="宋体" w:eastAsia="宋体" w:cs="宋体"/>
                <w:color w:val="000000" w:themeColor="text1"/>
                <w:kern w:val="0"/>
                <w:sz w:val="21"/>
                <w:szCs w:val="21"/>
                <w:highlight w:val="none"/>
                <w14:textFill>
                  <w14:solidFill>
                    <w14:schemeClr w14:val="tx1"/>
                  </w14:solidFill>
                </w14:textFill>
              </w:rPr>
              <w:t>工作</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，并按照演练相关</w:t>
            </w:r>
            <w:r>
              <w:rPr>
                <w:rFonts w:hint="eastAsia" w:ascii="宋体" w:hAnsi="宋体" w:eastAsia="宋体" w:cs="宋体"/>
                <w:color w:val="000000" w:themeColor="text1"/>
                <w:kern w:val="0"/>
                <w:sz w:val="21"/>
                <w:szCs w:val="21"/>
                <w:highlight w:val="none"/>
                <w14:textFill>
                  <w14:solidFill>
                    <w14:schemeClr w14:val="tx1"/>
                  </w14:solidFill>
                </w14:textFill>
              </w:rPr>
              <w:t>要求</w:t>
            </w:r>
            <w:r>
              <w:rPr>
                <w:rFonts w:hint="eastAsia" w:ascii="宋体" w:hAnsi="宋体" w:eastAsia="宋体" w:cs="宋体"/>
                <w:color w:val="000000" w:themeColor="text1"/>
                <w:kern w:val="0"/>
                <w:sz w:val="21"/>
                <w:szCs w:val="21"/>
                <w:highlight w:val="none"/>
                <w:lang w:eastAsia="zh-CN"/>
                <w14:textFill>
                  <w14:solidFill>
                    <w14:schemeClr w14:val="tx1"/>
                  </w14:solidFill>
                </w14:textFill>
              </w:rPr>
              <w:t>，输出防守报告、溯源报告等材料</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p>
        </w:tc>
        <w:tc>
          <w:tcPr>
            <w:tcW w:w="2037" w:type="dxa"/>
            <w:shd w:val="clear" w:color="auto" w:fill="auto"/>
            <w:vAlign w:val="center"/>
          </w:tcPr>
          <w:p w14:paraId="76984E4C">
            <w:pPr>
              <w:widowControl/>
              <w:ind w:firstLine="0" w:firstLineChars="0"/>
              <w:jc w:val="center"/>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协助做好网络安全部门组织的演练活动期间的网络安全防守工作</w:t>
            </w:r>
          </w:p>
        </w:tc>
      </w:tr>
      <w:tr w14:paraId="6A88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648" w:type="dxa"/>
            <w:shd w:val="clear" w:color="auto" w:fill="auto"/>
            <w:vAlign w:val="center"/>
          </w:tcPr>
          <w:p w14:paraId="264B1C6E">
            <w:pPr>
              <w:widowControl/>
              <w:ind w:firstLine="0" w:firstLineChars="0"/>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11</w:t>
            </w:r>
          </w:p>
        </w:tc>
        <w:tc>
          <w:tcPr>
            <w:tcW w:w="1400" w:type="dxa"/>
            <w:shd w:val="clear" w:color="auto" w:fill="auto"/>
            <w:vAlign w:val="center"/>
          </w:tcPr>
          <w:p w14:paraId="306FEEB3">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互联网系统云监测服务</w:t>
            </w:r>
          </w:p>
        </w:tc>
        <w:tc>
          <w:tcPr>
            <w:tcW w:w="4533" w:type="dxa"/>
            <w:shd w:val="clear" w:color="auto" w:fill="auto"/>
            <w:vAlign w:val="center"/>
          </w:tcPr>
          <w:p w14:paraId="28339145">
            <w:pPr>
              <w:widowControl/>
              <w:ind w:firstLine="0" w:firstLineChars="0"/>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协助</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完成</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面向</w:t>
            </w:r>
            <w:r>
              <w:rPr>
                <w:rFonts w:hint="eastAsia" w:ascii="宋体" w:hAnsi="宋体" w:cs="宋体"/>
                <w:color w:val="000000" w:themeColor="text1"/>
                <w:kern w:val="0"/>
                <w:sz w:val="21"/>
                <w:szCs w:val="21"/>
                <w:highlight w:val="none"/>
                <w:lang w:val="en-US" w:eastAsia="zh-CN"/>
                <w14:textFill>
                  <w14:solidFill>
                    <w14:schemeClr w14:val="tx1"/>
                  </w14:solidFill>
                </w14:textFill>
              </w:rPr>
              <w:t>政务云、</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互联网</w:t>
            </w:r>
            <w:r>
              <w:rPr>
                <w:rFonts w:hint="eastAsia" w:ascii="宋体" w:hAnsi="宋体" w:cs="宋体"/>
                <w:color w:val="000000" w:themeColor="text1"/>
                <w:kern w:val="0"/>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重要业务系统安全监管，需要互联网系统云监测服务平台服务对业务系统进行7*24小时的安全监测，主要方式为通过互联网系统云监测服务平台，将原有的小时级安全响应转换为分钟级响应。</w:t>
            </w:r>
          </w:p>
        </w:tc>
        <w:tc>
          <w:tcPr>
            <w:tcW w:w="2037" w:type="dxa"/>
            <w:shd w:val="clear" w:color="auto" w:fill="auto"/>
            <w:vAlign w:val="center"/>
          </w:tcPr>
          <w:p w14:paraId="12A30165">
            <w:pPr>
              <w:widowControl/>
              <w:ind w:firstLine="0" w:firstLineChars="0"/>
              <w:jc w:val="center"/>
              <w:rPr>
                <w:rFonts w:hint="default"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做好政务云、</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互联网</w:t>
            </w:r>
            <w:r>
              <w:rPr>
                <w:rFonts w:hint="eastAsia" w:ascii="宋体" w:hAnsi="宋体" w:cs="宋体"/>
                <w:color w:val="000000" w:themeColor="text1"/>
                <w:kern w:val="0"/>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重要业务系统</w:t>
            </w:r>
            <w:r>
              <w:rPr>
                <w:rFonts w:hint="eastAsia" w:ascii="宋体" w:hAnsi="宋体" w:cs="宋体"/>
                <w:color w:val="000000" w:themeColor="text1"/>
                <w:kern w:val="0"/>
                <w:sz w:val="21"/>
                <w:szCs w:val="21"/>
                <w:highlight w:val="none"/>
                <w:lang w:val="en-US" w:eastAsia="zh-CN"/>
                <w14:textFill>
                  <w14:solidFill>
                    <w14:schemeClr w14:val="tx1"/>
                  </w14:solidFill>
                </w14:textFill>
              </w:rPr>
              <w:t>云监测</w:t>
            </w:r>
          </w:p>
        </w:tc>
      </w:tr>
      <w:tr w14:paraId="6605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648" w:type="dxa"/>
            <w:shd w:val="clear" w:color="auto" w:fill="auto"/>
            <w:vAlign w:val="center"/>
          </w:tcPr>
          <w:p w14:paraId="20C5BFFC">
            <w:pPr>
              <w:widowControl/>
              <w:ind w:firstLine="0" w:firstLineChars="0"/>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12</w:t>
            </w:r>
          </w:p>
        </w:tc>
        <w:tc>
          <w:tcPr>
            <w:tcW w:w="1400" w:type="dxa"/>
            <w:shd w:val="clear" w:color="auto" w:fill="auto"/>
            <w:vAlign w:val="center"/>
          </w:tcPr>
          <w:p w14:paraId="4CFC6BBD">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互联网系统云防护服务</w:t>
            </w:r>
          </w:p>
        </w:tc>
        <w:tc>
          <w:tcPr>
            <w:tcW w:w="4533" w:type="dxa"/>
            <w:shd w:val="clear" w:color="auto" w:fill="auto"/>
            <w:vAlign w:val="center"/>
          </w:tcPr>
          <w:p w14:paraId="30047014">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协助</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完成</w:t>
            </w:r>
            <w:r>
              <w:rPr>
                <w:rFonts w:hint="eastAsia" w:ascii="宋体" w:hAnsi="宋体" w:cs="宋体"/>
                <w:color w:val="000000" w:themeColor="text1"/>
                <w:kern w:val="0"/>
                <w:sz w:val="21"/>
                <w:szCs w:val="21"/>
                <w:highlight w:val="none"/>
                <w:lang w:val="en-US" w:eastAsia="zh-CN"/>
                <w14:textFill>
                  <w14:solidFill>
                    <w14:schemeClr w14:val="tx1"/>
                  </w14:solidFill>
                </w14:textFill>
              </w:rPr>
              <w:t>政务云、互联网等</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要业务系统的安全防护，需要互联网系统云防护服务对业务进行7*24小时的安全防护，主要内容为通过互联网系统云防护服务平台针对漏洞、暗链、黑页、钓鱼、篡改的安全防护，以及未知攻击等安全攻击防护。</w:t>
            </w:r>
          </w:p>
        </w:tc>
        <w:tc>
          <w:tcPr>
            <w:tcW w:w="2037" w:type="dxa"/>
            <w:shd w:val="clear" w:color="auto" w:fill="auto"/>
            <w:vAlign w:val="center"/>
          </w:tcPr>
          <w:p w14:paraId="259C44E7">
            <w:pPr>
              <w:widowControl/>
              <w:ind w:firstLine="0" w:firstLineChars="0"/>
              <w:jc w:val="center"/>
              <w:rPr>
                <w:rFonts w:hint="default"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做好政务云、</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互联网</w:t>
            </w:r>
            <w:r>
              <w:rPr>
                <w:rFonts w:hint="eastAsia" w:ascii="宋体" w:hAnsi="宋体" w:cs="宋体"/>
                <w:color w:val="000000" w:themeColor="text1"/>
                <w:kern w:val="0"/>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重要业务系统</w:t>
            </w:r>
            <w:r>
              <w:rPr>
                <w:rFonts w:hint="eastAsia" w:ascii="宋体" w:hAnsi="宋体" w:cs="宋体"/>
                <w:color w:val="000000" w:themeColor="text1"/>
                <w:kern w:val="0"/>
                <w:sz w:val="21"/>
                <w:szCs w:val="21"/>
                <w:highlight w:val="none"/>
                <w:lang w:val="en-US" w:eastAsia="zh-CN"/>
                <w14:textFill>
                  <w14:solidFill>
                    <w14:schemeClr w14:val="tx1"/>
                  </w14:solidFill>
                </w14:textFill>
              </w:rPr>
              <w:t>云防护</w:t>
            </w:r>
          </w:p>
        </w:tc>
      </w:tr>
      <w:tr w14:paraId="1578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648" w:type="dxa"/>
            <w:shd w:val="clear" w:color="auto" w:fill="auto"/>
            <w:vAlign w:val="center"/>
          </w:tcPr>
          <w:p w14:paraId="037B7A3E">
            <w:pPr>
              <w:widowControl/>
              <w:ind w:firstLine="0" w:firstLineChars="0"/>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13</w:t>
            </w:r>
          </w:p>
        </w:tc>
        <w:tc>
          <w:tcPr>
            <w:tcW w:w="1400" w:type="dxa"/>
            <w:shd w:val="clear" w:color="auto" w:fill="auto"/>
            <w:vAlign w:val="center"/>
          </w:tcPr>
          <w:p w14:paraId="0C7F0D85">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关基设施安全检测和风险评估服务</w:t>
            </w:r>
          </w:p>
        </w:tc>
        <w:tc>
          <w:tcPr>
            <w:tcW w:w="4533" w:type="dxa"/>
            <w:shd w:val="clear" w:color="auto" w:fill="auto"/>
            <w:vAlign w:val="center"/>
          </w:tcPr>
          <w:p w14:paraId="5916E598">
            <w:pPr>
              <w:widowControl/>
              <w:ind w:firstLine="0" w:firstLineChars="0"/>
              <w:jc w:val="left"/>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按照</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关键信息基础设施</w:t>
            </w:r>
            <w:r>
              <w:rPr>
                <w:rFonts w:hint="eastAsia" w:ascii="宋体" w:hAnsi="宋体" w:cs="宋体"/>
                <w:color w:val="000000" w:themeColor="text1"/>
                <w:kern w:val="0"/>
                <w:sz w:val="21"/>
                <w:szCs w:val="21"/>
                <w:highlight w:val="none"/>
                <w:lang w:val="en-US" w:eastAsia="zh-CN"/>
                <w14:textFill>
                  <w14:solidFill>
                    <w14:schemeClr w14:val="tx1"/>
                  </w14:solidFill>
                </w14:textFill>
              </w:rPr>
              <w:t>保护条例编写工作方案，</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协助</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完成</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关键信息基础设施</w:t>
            </w:r>
            <w:r>
              <w:rPr>
                <w:rFonts w:hint="eastAsia" w:ascii="宋体" w:hAnsi="宋体" w:cs="宋体"/>
                <w:color w:val="000000" w:themeColor="text1"/>
                <w:kern w:val="0"/>
                <w:sz w:val="21"/>
                <w:szCs w:val="21"/>
                <w:highlight w:val="none"/>
                <w:lang w:val="en-US" w:eastAsia="zh-CN"/>
                <w14:textFill>
                  <w14:solidFill>
                    <w14:schemeClr w14:val="tx1"/>
                  </w14:solidFill>
                </w14:textFill>
              </w:rPr>
              <w:t>防护</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，按照要求需要每年开展安全检测和风险评估服务。</w:t>
            </w:r>
            <w:r>
              <w:rPr>
                <w:rFonts w:hint="eastAsia" w:ascii="宋体" w:hAnsi="宋体" w:cs="宋体"/>
                <w:color w:val="000000"/>
                <w:kern w:val="0"/>
                <w:sz w:val="21"/>
                <w:szCs w:val="21"/>
                <w:highlight w:val="none"/>
                <w:lang w:val="en-US" w:eastAsia="zh-CN"/>
              </w:rPr>
              <w:t>协助医院编制关基系统</w:t>
            </w:r>
            <w:r>
              <w:rPr>
                <w:rFonts w:hint="eastAsia" w:ascii="宋体" w:hAnsi="宋体" w:eastAsia="宋体" w:cs="宋体"/>
                <w:color w:val="000000"/>
                <w:kern w:val="0"/>
                <w:sz w:val="21"/>
                <w:szCs w:val="21"/>
                <w:highlight w:val="none"/>
                <w:lang w:val="en-US" w:eastAsia="zh-CN"/>
              </w:rPr>
              <w:t>网络安全事件应急预案。</w:t>
            </w:r>
          </w:p>
        </w:tc>
        <w:tc>
          <w:tcPr>
            <w:tcW w:w="2037" w:type="dxa"/>
            <w:shd w:val="clear" w:color="auto" w:fill="auto"/>
            <w:vAlign w:val="center"/>
          </w:tcPr>
          <w:p w14:paraId="14EAB811">
            <w:pPr>
              <w:widowControl/>
              <w:ind w:firstLine="0" w:firstLineChars="0"/>
              <w:jc w:val="center"/>
              <w:rPr>
                <w:rFonts w:hint="eastAsia"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协助</w:t>
            </w:r>
            <w:r>
              <w:rPr>
                <w:rFonts w:hint="eastAsia" w:ascii="宋体" w:hAnsi="宋体" w:cs="宋体"/>
                <w:color w:val="000000" w:themeColor="text1"/>
                <w:kern w:val="0"/>
                <w:sz w:val="21"/>
                <w:szCs w:val="21"/>
                <w:highlight w:val="none"/>
                <w:lang w:eastAsia="zh-CN"/>
                <w14:textFill>
                  <w14:solidFill>
                    <w14:schemeClr w14:val="tx1"/>
                  </w14:solidFill>
                </w14:textFill>
              </w:rPr>
              <w:t>医院</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完成</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关键信息基础设施</w:t>
            </w:r>
            <w:r>
              <w:rPr>
                <w:rFonts w:hint="eastAsia" w:ascii="宋体" w:hAnsi="宋体" w:cs="宋体"/>
                <w:color w:val="000000" w:themeColor="text1"/>
                <w:kern w:val="0"/>
                <w:sz w:val="21"/>
                <w:szCs w:val="21"/>
                <w:highlight w:val="none"/>
                <w:lang w:val="en-US" w:eastAsia="zh-CN"/>
                <w14:textFill>
                  <w14:solidFill>
                    <w14:schemeClr w14:val="tx1"/>
                  </w14:solidFill>
                </w14:textFill>
              </w:rPr>
              <w:t>等重要系统的防护</w:t>
            </w:r>
          </w:p>
        </w:tc>
      </w:tr>
    </w:tbl>
    <w:p w14:paraId="728E6541"/>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7D740">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935C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2935C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p>
  <w:p w14:paraId="7ECBA844">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C6D81"/>
    <w:multiLevelType w:val="singleLevel"/>
    <w:tmpl w:val="06CC6D81"/>
    <w:lvl w:ilvl="0" w:tentative="0">
      <w:start w:val="15"/>
      <w:numFmt w:val="decimal"/>
      <w:suff w:val="nothing"/>
      <w:lvlText w:val="%1、"/>
      <w:lvlJc w:val="left"/>
    </w:lvl>
  </w:abstractNum>
  <w:abstractNum w:abstractNumId="1">
    <w:nsid w:val="26B9C935"/>
    <w:multiLevelType w:val="multilevel"/>
    <w:tmpl w:val="26B9C935"/>
    <w:lvl w:ilvl="0" w:tentative="0">
      <w:start w:val="1"/>
      <w:numFmt w:val="decimal"/>
      <w:suff w:val="nothing"/>
      <w:lvlText w:val="（%1）"/>
      <w:lvlJc w:val="left"/>
      <w:pPr>
        <w:ind w:left="0" w:leftChars="0" w:firstLine="420" w:firstLineChars="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3MDAxYTYzZWE3YjM0ZGU2YTZhYzYyYTNkY2MzNmMifQ=="/>
  </w:docVars>
  <w:rsids>
    <w:rsidRoot w:val="00F92B2A"/>
    <w:rsid w:val="00006707"/>
    <w:rsid w:val="00006AE6"/>
    <w:rsid w:val="00014CF0"/>
    <w:rsid w:val="000258CC"/>
    <w:rsid w:val="00040D0A"/>
    <w:rsid w:val="00042C37"/>
    <w:rsid w:val="000448EA"/>
    <w:rsid w:val="00050334"/>
    <w:rsid w:val="0007761D"/>
    <w:rsid w:val="000809E3"/>
    <w:rsid w:val="000845C4"/>
    <w:rsid w:val="000E5A28"/>
    <w:rsid w:val="001156E6"/>
    <w:rsid w:val="00115BD6"/>
    <w:rsid w:val="001508D3"/>
    <w:rsid w:val="00152150"/>
    <w:rsid w:val="00164F41"/>
    <w:rsid w:val="00176AFF"/>
    <w:rsid w:val="00190ECD"/>
    <w:rsid w:val="00192B51"/>
    <w:rsid w:val="00193D32"/>
    <w:rsid w:val="001D3B2F"/>
    <w:rsid w:val="001E701C"/>
    <w:rsid w:val="001F2B2E"/>
    <w:rsid w:val="0020168F"/>
    <w:rsid w:val="00203E78"/>
    <w:rsid w:val="0021183D"/>
    <w:rsid w:val="00212D88"/>
    <w:rsid w:val="002175CA"/>
    <w:rsid w:val="00233F73"/>
    <w:rsid w:val="002646AE"/>
    <w:rsid w:val="00274B7A"/>
    <w:rsid w:val="00282429"/>
    <w:rsid w:val="00284101"/>
    <w:rsid w:val="002A4354"/>
    <w:rsid w:val="002F3651"/>
    <w:rsid w:val="002F7AFE"/>
    <w:rsid w:val="00306DBA"/>
    <w:rsid w:val="00320188"/>
    <w:rsid w:val="00370A6A"/>
    <w:rsid w:val="00385071"/>
    <w:rsid w:val="003A1CC8"/>
    <w:rsid w:val="003A7982"/>
    <w:rsid w:val="003B43BC"/>
    <w:rsid w:val="003B6BF3"/>
    <w:rsid w:val="003D601C"/>
    <w:rsid w:val="003D6EA1"/>
    <w:rsid w:val="003E4923"/>
    <w:rsid w:val="003E50BE"/>
    <w:rsid w:val="003E6D74"/>
    <w:rsid w:val="004244B2"/>
    <w:rsid w:val="00446A2C"/>
    <w:rsid w:val="00474DF8"/>
    <w:rsid w:val="0047670E"/>
    <w:rsid w:val="00493B26"/>
    <w:rsid w:val="004B5DFB"/>
    <w:rsid w:val="004C03FE"/>
    <w:rsid w:val="004C599C"/>
    <w:rsid w:val="004D5C54"/>
    <w:rsid w:val="004D6ED0"/>
    <w:rsid w:val="004E05AB"/>
    <w:rsid w:val="004E06CD"/>
    <w:rsid w:val="004E0CCC"/>
    <w:rsid w:val="005209C7"/>
    <w:rsid w:val="00536BBE"/>
    <w:rsid w:val="00547E78"/>
    <w:rsid w:val="00574B61"/>
    <w:rsid w:val="005750F6"/>
    <w:rsid w:val="00596A7A"/>
    <w:rsid w:val="005C4B35"/>
    <w:rsid w:val="005E4665"/>
    <w:rsid w:val="005E7B8A"/>
    <w:rsid w:val="00605749"/>
    <w:rsid w:val="00606F42"/>
    <w:rsid w:val="006265CC"/>
    <w:rsid w:val="00635EF0"/>
    <w:rsid w:val="0065691E"/>
    <w:rsid w:val="00672B92"/>
    <w:rsid w:val="006B7C14"/>
    <w:rsid w:val="006C71A3"/>
    <w:rsid w:val="006D0F3F"/>
    <w:rsid w:val="006D7DC7"/>
    <w:rsid w:val="006E7F09"/>
    <w:rsid w:val="00703616"/>
    <w:rsid w:val="00703D11"/>
    <w:rsid w:val="00730DB0"/>
    <w:rsid w:val="0073707A"/>
    <w:rsid w:val="007475E3"/>
    <w:rsid w:val="00763A01"/>
    <w:rsid w:val="00773CE9"/>
    <w:rsid w:val="007A26B2"/>
    <w:rsid w:val="007B1516"/>
    <w:rsid w:val="007B4BF4"/>
    <w:rsid w:val="007F39E5"/>
    <w:rsid w:val="00824691"/>
    <w:rsid w:val="00837793"/>
    <w:rsid w:val="00894F48"/>
    <w:rsid w:val="008A7C6F"/>
    <w:rsid w:val="008C157F"/>
    <w:rsid w:val="008C58F4"/>
    <w:rsid w:val="008D4540"/>
    <w:rsid w:val="008D49E2"/>
    <w:rsid w:val="00906A54"/>
    <w:rsid w:val="0092595E"/>
    <w:rsid w:val="009260EE"/>
    <w:rsid w:val="00946D73"/>
    <w:rsid w:val="009516E8"/>
    <w:rsid w:val="00954277"/>
    <w:rsid w:val="00955DE1"/>
    <w:rsid w:val="0097218D"/>
    <w:rsid w:val="0097708B"/>
    <w:rsid w:val="0099303B"/>
    <w:rsid w:val="00996397"/>
    <w:rsid w:val="009A619C"/>
    <w:rsid w:val="009D0F7D"/>
    <w:rsid w:val="009D5BFC"/>
    <w:rsid w:val="00A03053"/>
    <w:rsid w:val="00A20353"/>
    <w:rsid w:val="00A6412C"/>
    <w:rsid w:val="00A875CC"/>
    <w:rsid w:val="00A91F4A"/>
    <w:rsid w:val="00AA3A84"/>
    <w:rsid w:val="00AC14D1"/>
    <w:rsid w:val="00AD222B"/>
    <w:rsid w:val="00AF4365"/>
    <w:rsid w:val="00B12383"/>
    <w:rsid w:val="00B252DA"/>
    <w:rsid w:val="00B57919"/>
    <w:rsid w:val="00B7167B"/>
    <w:rsid w:val="00B755BC"/>
    <w:rsid w:val="00BA29E7"/>
    <w:rsid w:val="00BB58B1"/>
    <w:rsid w:val="00BE0B4D"/>
    <w:rsid w:val="00BF1F9A"/>
    <w:rsid w:val="00BF2079"/>
    <w:rsid w:val="00BF67C9"/>
    <w:rsid w:val="00C000A7"/>
    <w:rsid w:val="00C05598"/>
    <w:rsid w:val="00C25740"/>
    <w:rsid w:val="00C26A92"/>
    <w:rsid w:val="00C41534"/>
    <w:rsid w:val="00C44239"/>
    <w:rsid w:val="00C44F96"/>
    <w:rsid w:val="00C6402E"/>
    <w:rsid w:val="00C83E1D"/>
    <w:rsid w:val="00CB1772"/>
    <w:rsid w:val="00CD33C5"/>
    <w:rsid w:val="00CF1C14"/>
    <w:rsid w:val="00D31A01"/>
    <w:rsid w:val="00D35177"/>
    <w:rsid w:val="00D4119C"/>
    <w:rsid w:val="00D45C42"/>
    <w:rsid w:val="00D54256"/>
    <w:rsid w:val="00DA194A"/>
    <w:rsid w:val="00DA20E4"/>
    <w:rsid w:val="00DA6312"/>
    <w:rsid w:val="00DB7F3C"/>
    <w:rsid w:val="00DD32D5"/>
    <w:rsid w:val="00DD580E"/>
    <w:rsid w:val="00DD72DC"/>
    <w:rsid w:val="00DF1E01"/>
    <w:rsid w:val="00E5211D"/>
    <w:rsid w:val="00EB3145"/>
    <w:rsid w:val="00EB66C5"/>
    <w:rsid w:val="00EC1763"/>
    <w:rsid w:val="00EC27DC"/>
    <w:rsid w:val="00F00570"/>
    <w:rsid w:val="00F30DEA"/>
    <w:rsid w:val="00F34F9D"/>
    <w:rsid w:val="00F44CB4"/>
    <w:rsid w:val="00F46FE7"/>
    <w:rsid w:val="00F50C88"/>
    <w:rsid w:val="00F77F64"/>
    <w:rsid w:val="00F81631"/>
    <w:rsid w:val="00F92B2A"/>
    <w:rsid w:val="00FB1956"/>
    <w:rsid w:val="00FD4C8D"/>
    <w:rsid w:val="027F4D04"/>
    <w:rsid w:val="10271A80"/>
    <w:rsid w:val="1A9A110C"/>
    <w:rsid w:val="1D886D0B"/>
    <w:rsid w:val="225A0868"/>
    <w:rsid w:val="3B2406EA"/>
    <w:rsid w:val="3F601F84"/>
    <w:rsid w:val="4B054499"/>
    <w:rsid w:val="4C147D16"/>
    <w:rsid w:val="4C7A7194"/>
    <w:rsid w:val="5943350B"/>
    <w:rsid w:val="68AD274F"/>
    <w:rsid w:val="68C514B7"/>
    <w:rsid w:val="72402970"/>
    <w:rsid w:val="72A411A6"/>
    <w:rsid w:val="7EBA4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autoRedefine/>
    <w:qFormat/>
    <w:uiPriority w:val="0"/>
    <w:pPr>
      <w:keepNext/>
      <w:keepLines/>
      <w:spacing w:before="160" w:after="80" w:line="360" w:lineRule="auto"/>
      <w:outlineLvl w:val="0"/>
    </w:pPr>
    <w:rPr>
      <w:rFonts w:ascii="Times New Roman" w:hAnsi="Times New Roman" w:eastAsia="楷体" w:cs="Times New Roman"/>
      <w:b/>
      <w:kern w:val="44"/>
      <w:sz w:val="32"/>
      <w:szCs w:val="24"/>
    </w:rPr>
  </w:style>
  <w:style w:type="paragraph" w:styleId="3">
    <w:name w:val="heading 2"/>
    <w:basedOn w:val="1"/>
    <w:next w:val="1"/>
    <w:link w:val="18"/>
    <w:autoRedefine/>
    <w:qFormat/>
    <w:uiPriority w:val="0"/>
    <w:pPr>
      <w:keepNext/>
      <w:keepLines/>
      <w:tabs>
        <w:tab w:val="left" w:pos="936"/>
      </w:tabs>
      <w:spacing w:before="20" w:after="20" w:line="360" w:lineRule="auto"/>
      <w:ind w:left="840" w:hanging="420"/>
      <w:outlineLvl w:val="1"/>
    </w:pPr>
    <w:rPr>
      <w:rFonts w:ascii="Arial" w:hAnsi="Arial" w:eastAsia="楷体" w:cs="Times New Roman"/>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0"/>
    <w:autoRedefine/>
    <w:qFormat/>
    <w:uiPriority w:val="1"/>
    <w:pPr>
      <w:ind w:left="840"/>
    </w:pPr>
    <w:rPr>
      <w:rFonts w:ascii="宋体" w:hAnsi="宋体" w:eastAsia="宋体" w:cs="宋体"/>
      <w:sz w:val="24"/>
      <w:szCs w:val="24"/>
      <w:lang w:val="zh-CN" w:bidi="zh-CN"/>
    </w:rPr>
  </w:style>
  <w:style w:type="paragraph" w:styleId="5">
    <w:name w:val="Body Text Indent"/>
    <w:basedOn w:val="1"/>
    <w:qFormat/>
    <w:uiPriority w:val="0"/>
    <w:pPr>
      <w:ind w:firstLine="570"/>
    </w:pPr>
    <w:rPr>
      <w:rFonts w:ascii="宋体" w:hAnsi="宋体"/>
      <w:sz w:val="28"/>
      <w:szCs w:val="20"/>
    </w:rPr>
  </w:style>
  <w:style w:type="paragraph" w:styleId="6">
    <w:name w:val="Balloon Text"/>
    <w:basedOn w:val="1"/>
    <w:link w:val="21"/>
    <w:autoRedefine/>
    <w:semiHidden/>
    <w:unhideWhenUsed/>
    <w:qFormat/>
    <w:uiPriority w:val="99"/>
    <w:rPr>
      <w:sz w:val="18"/>
      <w:szCs w:val="18"/>
    </w:rPr>
  </w:style>
  <w:style w:type="paragraph" w:styleId="7">
    <w:name w:val="footer"/>
    <w:basedOn w:val="1"/>
    <w:link w:val="13"/>
    <w:autoRedefine/>
    <w:unhideWhenUsed/>
    <w:qFormat/>
    <w:uiPriority w:val="99"/>
    <w:pPr>
      <w:tabs>
        <w:tab w:val="center" w:pos="4153"/>
        <w:tab w:val="right" w:pos="8306"/>
      </w:tabs>
      <w:snapToGrid w:val="0"/>
      <w:jc w:val="left"/>
    </w:pPr>
    <w:rPr>
      <w:sz w:val="18"/>
      <w:szCs w:val="18"/>
    </w:rPr>
  </w:style>
  <w:style w:type="paragraph" w:styleId="8">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5"/>
    <w:unhideWhenUsed/>
    <w:qFormat/>
    <w:uiPriority w:val="99"/>
    <w:pPr>
      <w:ind w:firstLine="420" w:firstLineChars="200"/>
    </w:pPr>
  </w:style>
  <w:style w:type="character" w:customStyle="1" w:styleId="12">
    <w:name w:val="页眉 Char"/>
    <w:basedOn w:val="11"/>
    <w:link w:val="8"/>
    <w:autoRedefine/>
    <w:qFormat/>
    <w:uiPriority w:val="99"/>
    <w:rPr>
      <w:sz w:val="18"/>
      <w:szCs w:val="18"/>
    </w:rPr>
  </w:style>
  <w:style w:type="character" w:customStyle="1" w:styleId="13">
    <w:name w:val="页脚 Char"/>
    <w:basedOn w:val="11"/>
    <w:link w:val="7"/>
    <w:autoRedefine/>
    <w:qFormat/>
    <w:uiPriority w:val="99"/>
    <w:rPr>
      <w:sz w:val="18"/>
      <w:szCs w:val="18"/>
    </w:rPr>
  </w:style>
  <w:style w:type="paragraph" w:styleId="14">
    <w:name w:val="List Paragraph"/>
    <w:basedOn w:val="1"/>
    <w:autoRedefine/>
    <w:qFormat/>
    <w:uiPriority w:val="1"/>
    <w:pPr>
      <w:ind w:firstLine="420" w:firstLineChars="200"/>
    </w:pPr>
  </w:style>
  <w:style w:type="character" w:customStyle="1" w:styleId="15">
    <w:name w:val="*正文 Char"/>
    <w:link w:val="16"/>
    <w:autoRedefine/>
    <w:qFormat/>
    <w:uiPriority w:val="0"/>
    <w:rPr>
      <w:rFonts w:ascii="宋体" w:hAnsi="宋体" w:cs="仿宋_GB2312"/>
    </w:rPr>
  </w:style>
  <w:style w:type="paragraph" w:customStyle="1" w:styleId="16">
    <w:name w:val="*正文"/>
    <w:basedOn w:val="1"/>
    <w:link w:val="15"/>
    <w:autoRedefine/>
    <w:qFormat/>
    <w:uiPriority w:val="0"/>
    <w:pPr>
      <w:spacing w:line="360" w:lineRule="auto"/>
      <w:ind w:firstLine="200" w:firstLineChars="200"/>
    </w:pPr>
    <w:rPr>
      <w:rFonts w:ascii="宋体" w:hAnsi="宋体" w:cs="仿宋_GB2312"/>
    </w:rPr>
  </w:style>
  <w:style w:type="character" w:customStyle="1" w:styleId="17">
    <w:name w:val="标题 1 Char"/>
    <w:basedOn w:val="11"/>
    <w:link w:val="2"/>
    <w:autoRedefine/>
    <w:qFormat/>
    <w:uiPriority w:val="0"/>
    <w:rPr>
      <w:rFonts w:ascii="Times New Roman" w:hAnsi="Times New Roman" w:eastAsia="楷体" w:cs="Times New Roman"/>
      <w:b/>
      <w:kern w:val="44"/>
      <w:sz w:val="32"/>
      <w:szCs w:val="24"/>
    </w:rPr>
  </w:style>
  <w:style w:type="character" w:customStyle="1" w:styleId="18">
    <w:name w:val="标题 2 Char"/>
    <w:basedOn w:val="11"/>
    <w:link w:val="3"/>
    <w:autoRedefine/>
    <w:qFormat/>
    <w:uiPriority w:val="0"/>
    <w:rPr>
      <w:rFonts w:ascii="Arial" w:hAnsi="Arial" w:eastAsia="楷体" w:cs="Times New Roman"/>
      <w:b/>
      <w:bCs/>
      <w:sz w:val="32"/>
      <w:szCs w:val="32"/>
    </w:rPr>
  </w:style>
  <w:style w:type="paragraph" w:customStyle="1" w:styleId="19">
    <w:name w:val="_Style 14"/>
    <w:basedOn w:val="1"/>
    <w:next w:val="14"/>
    <w:autoRedefine/>
    <w:qFormat/>
    <w:uiPriority w:val="34"/>
    <w:pPr>
      <w:ind w:firstLine="420" w:firstLineChars="200"/>
    </w:pPr>
    <w:rPr>
      <w:rFonts w:ascii="Times New Roman" w:hAnsi="Times New Roman" w:eastAsia="宋体" w:cs="Times New Roman"/>
      <w:szCs w:val="24"/>
    </w:rPr>
  </w:style>
  <w:style w:type="character" w:customStyle="1" w:styleId="20">
    <w:name w:val="正文文本 Char"/>
    <w:basedOn w:val="11"/>
    <w:link w:val="4"/>
    <w:autoRedefine/>
    <w:qFormat/>
    <w:uiPriority w:val="1"/>
    <w:rPr>
      <w:rFonts w:ascii="宋体" w:hAnsi="宋体" w:eastAsia="宋体" w:cs="宋体"/>
      <w:sz w:val="24"/>
      <w:szCs w:val="24"/>
      <w:lang w:val="zh-CN" w:bidi="zh-CN"/>
    </w:rPr>
  </w:style>
  <w:style w:type="character" w:customStyle="1" w:styleId="21">
    <w:name w:val="批注框文本 Char"/>
    <w:basedOn w:val="11"/>
    <w:link w:val="6"/>
    <w:autoRedefine/>
    <w:semiHidden/>
    <w:qFormat/>
    <w:uiPriority w:val="99"/>
    <w:rPr>
      <w:sz w:val="18"/>
      <w:szCs w:val="18"/>
    </w:rPr>
  </w:style>
  <w:style w:type="paragraph" w:customStyle="1" w:styleId="22">
    <w:name w:val="列表段落1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0CE5E5-3817-4D0A-ABF2-7E304456664E}">
  <ds:schemaRefs/>
</ds:datastoreItem>
</file>

<file path=docProps/app.xml><?xml version="1.0" encoding="utf-8"?>
<Properties xmlns="http://schemas.openxmlformats.org/officeDocument/2006/extended-properties" xmlns:vt="http://schemas.openxmlformats.org/officeDocument/2006/docPropsVTypes">
  <Template>Normal</Template>
  <Pages>13</Pages>
  <Words>10120</Words>
  <Characters>10581</Characters>
  <Lines>80</Lines>
  <Paragraphs>22</Paragraphs>
  <TotalTime>22</TotalTime>
  <ScaleCrop>false</ScaleCrop>
  <LinksUpToDate>false</LinksUpToDate>
  <CharactersWithSpaces>10610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2022-09-21T06:33:00Z</dcterms:created>
  <dc:creator>Administrator</dc:creator>
  <cp:lastModifiedBy>市五院党院办</cp:lastModifiedBy>
  <cp:lastPrinted>2024-10-16T02:37:00Z</cp:lastPrinted>
  <dcterms:modified xsi:type="dcterms:W3CDTF">2024-10-16T09:34:17Z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4554C9D77E7A42AE8EE039681E9175BD_13</vt:lpwstr>
  </property>
</Properties>
</file>