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C569C8">
      <w:pPr>
        <w:rPr>
          <w:rFonts w:hint="eastAsia" w:ascii="仿宋" w:hAnsi="仿宋" w:eastAsia="仿宋" w:cs="仿宋"/>
          <w:sz w:val="32"/>
          <w:szCs w:val="32"/>
        </w:rPr>
      </w:pPr>
      <w:r>
        <w:rPr>
          <w:rFonts w:hint="eastAsia" w:ascii="仿宋" w:hAnsi="仿宋" w:eastAsia="仿宋" w:cs="仿宋"/>
          <w:sz w:val="32"/>
          <w:szCs w:val="32"/>
        </w:rPr>
        <w:t>附件：</w:t>
      </w:r>
      <w:r>
        <w:rPr>
          <w:rFonts w:hint="eastAsia" w:ascii="仿宋" w:hAnsi="仿宋" w:eastAsia="仿宋" w:cs="仿宋"/>
          <w:sz w:val="32"/>
          <w:szCs w:val="32"/>
          <w:lang w:val="en-US" w:eastAsia="zh-CN"/>
        </w:rPr>
        <w:t>珠海市第五人民医院</w:t>
      </w:r>
      <w:r>
        <w:rPr>
          <w:rFonts w:hint="eastAsia" w:ascii="仿宋" w:hAnsi="仿宋" w:eastAsia="仿宋" w:cs="仿宋"/>
          <w:sz w:val="32"/>
          <w:szCs w:val="32"/>
        </w:rPr>
        <w:t>202</w:t>
      </w:r>
      <w:r>
        <w:rPr>
          <w:rFonts w:hint="eastAsia" w:ascii="仿宋" w:hAnsi="仿宋" w:eastAsia="仿宋" w:cs="仿宋"/>
          <w:sz w:val="32"/>
          <w:szCs w:val="32"/>
          <w:lang w:val="en-US" w:eastAsia="zh-CN"/>
        </w:rPr>
        <w:t>5</w:t>
      </w:r>
      <w:r>
        <w:rPr>
          <w:rFonts w:hint="eastAsia" w:ascii="仿宋" w:hAnsi="仿宋" w:eastAsia="仿宋" w:cs="仿宋"/>
          <w:sz w:val="32"/>
          <w:szCs w:val="32"/>
        </w:rPr>
        <w:t>年电力采购项目</w:t>
      </w:r>
    </w:p>
    <w:p w14:paraId="5FDF2CEA">
      <w:pPr>
        <w:rPr>
          <w:rFonts w:hint="eastAsia" w:ascii="仿宋" w:hAnsi="仿宋" w:eastAsia="仿宋" w:cs="仿宋"/>
          <w:sz w:val="32"/>
          <w:szCs w:val="32"/>
        </w:rPr>
      </w:pPr>
    </w:p>
    <w:p w14:paraId="71509EEA">
      <w:pPr>
        <w:jc w:val="center"/>
        <w:rPr>
          <w:rFonts w:hint="eastAsia" w:ascii="仿宋" w:hAnsi="仿宋" w:eastAsia="仿宋" w:cs="仿宋"/>
          <w:sz w:val="32"/>
          <w:szCs w:val="32"/>
        </w:rPr>
      </w:pPr>
      <w:r>
        <w:rPr>
          <w:rFonts w:hint="eastAsia" w:ascii="黑体" w:hAnsi="黑体" w:eastAsia="黑体" w:cs="黑体"/>
          <w:sz w:val="36"/>
          <w:szCs w:val="36"/>
        </w:rPr>
        <w:t>项目需求书</w:t>
      </w:r>
    </w:p>
    <w:p w14:paraId="09D2EFDE">
      <w:pPr>
        <w:rPr>
          <w:rFonts w:hint="eastAsia" w:ascii="仿宋" w:hAnsi="仿宋" w:eastAsia="仿宋" w:cs="仿宋"/>
          <w:sz w:val="32"/>
          <w:szCs w:val="32"/>
        </w:rPr>
      </w:pPr>
    </w:p>
    <w:p w14:paraId="2E1A461C">
      <w:pPr>
        <w:ind w:firstLine="640" w:firstLineChars="200"/>
        <w:rPr>
          <w:rFonts w:hint="eastAsia" w:ascii="仿宋" w:hAnsi="仿宋" w:eastAsia="仿宋" w:cs="仿宋"/>
          <w:sz w:val="32"/>
          <w:szCs w:val="32"/>
        </w:rPr>
      </w:pPr>
      <w:r>
        <w:rPr>
          <w:rFonts w:hint="eastAsia" w:ascii="仿宋" w:hAnsi="仿宋" w:eastAsia="仿宋" w:cs="仿宋"/>
          <w:sz w:val="32"/>
          <w:szCs w:val="32"/>
        </w:rPr>
        <w:t>广东省能源局为加强和规范广东电力零售市场交易管理，维护电力零售市场秩序，促进电力零售市场健康发展，发布文件粤能规[2023]2号《</w:t>
      </w:r>
      <w:bookmarkStart w:id="0" w:name="OLE_LINK1"/>
      <w:r>
        <w:rPr>
          <w:rFonts w:hint="eastAsia" w:ascii="仿宋" w:hAnsi="仿宋" w:eastAsia="仿宋" w:cs="仿宋"/>
          <w:sz w:val="32"/>
          <w:szCs w:val="32"/>
        </w:rPr>
        <w:t>关于广东省能源局关于印发〈广东电力零售市场管理办法〉的通知</w:t>
      </w:r>
      <w:bookmarkEnd w:id="0"/>
      <w:r>
        <w:rPr>
          <w:rFonts w:hint="eastAsia" w:ascii="仿宋" w:hAnsi="仿宋" w:eastAsia="仿宋" w:cs="仿宋"/>
          <w:sz w:val="32"/>
          <w:szCs w:val="32"/>
        </w:rPr>
        <w:t>》</w:t>
      </w:r>
      <w:r>
        <w:rPr>
          <w:rFonts w:hint="eastAsia" w:ascii="仿宋" w:hAnsi="仿宋" w:eastAsia="仿宋" w:cs="仿宋"/>
          <w:sz w:val="32"/>
          <w:szCs w:val="32"/>
          <w:lang w:val="en-US" w:eastAsia="zh-CN"/>
        </w:rPr>
        <w:t>及粤能电力[2024]50号《广东省能源局、国家能源局南方监管局关于2025年电力市场交易有关事项的通知》</w:t>
      </w:r>
      <w:r>
        <w:rPr>
          <w:rFonts w:hint="eastAsia" w:ascii="仿宋" w:hAnsi="仿宋" w:eastAsia="仿宋" w:cs="仿宋"/>
          <w:sz w:val="32"/>
          <w:szCs w:val="32"/>
        </w:rPr>
        <w:t>。我院作为用电</w:t>
      </w:r>
      <w:r>
        <w:rPr>
          <w:rFonts w:hint="eastAsia" w:ascii="仿宋" w:hAnsi="仿宋" w:eastAsia="仿宋" w:cs="仿宋"/>
          <w:sz w:val="32"/>
          <w:szCs w:val="32"/>
          <w:lang w:val="en-US" w:eastAsia="zh-CN"/>
        </w:rPr>
        <w:t>量</w:t>
      </w:r>
      <w:r>
        <w:rPr>
          <w:rFonts w:hint="eastAsia" w:ascii="仿宋" w:hAnsi="仿宋" w:eastAsia="仿宋" w:cs="仿宋"/>
          <w:sz w:val="32"/>
          <w:szCs w:val="32"/>
        </w:rPr>
        <w:t>较大</w:t>
      </w:r>
      <w:r>
        <w:rPr>
          <w:rFonts w:hint="eastAsia" w:ascii="仿宋" w:hAnsi="仿宋" w:eastAsia="仿宋" w:cs="仿宋"/>
          <w:sz w:val="32"/>
          <w:szCs w:val="32"/>
          <w:lang w:val="en-US" w:eastAsia="zh-CN"/>
        </w:rPr>
        <w:t>的</w:t>
      </w:r>
      <w:r>
        <w:rPr>
          <w:rFonts w:hint="eastAsia" w:ascii="仿宋" w:hAnsi="仿宋" w:eastAsia="仿宋" w:cs="仿宋"/>
          <w:sz w:val="32"/>
          <w:szCs w:val="32"/>
        </w:rPr>
        <w:t>公共卫生行业</w:t>
      </w:r>
      <w:r>
        <w:rPr>
          <w:rFonts w:hint="eastAsia" w:ascii="仿宋" w:hAnsi="仿宋" w:eastAsia="仿宋" w:cs="仿宋"/>
          <w:sz w:val="32"/>
          <w:szCs w:val="32"/>
          <w:lang w:val="en-US" w:eastAsia="zh-CN"/>
        </w:rPr>
        <w:t>单位，根据</w:t>
      </w:r>
      <w:r>
        <w:rPr>
          <w:rFonts w:hint="eastAsia" w:ascii="仿宋" w:hAnsi="仿宋" w:eastAsia="仿宋" w:cs="仿宋"/>
          <w:sz w:val="32"/>
          <w:szCs w:val="32"/>
        </w:rPr>
        <w:t>国家和我省关于电力市场化改革有关精神，综合考虑节约能源支出、降低成本，更好地服务人民群众，有意做前期市场调研，具体需求如下：</w:t>
      </w:r>
    </w:p>
    <w:p w14:paraId="766D3B74">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一、</w:t>
      </w:r>
      <w:r>
        <w:rPr>
          <w:rFonts w:hint="eastAsia" w:ascii="仿宋" w:hAnsi="仿宋" w:eastAsia="仿宋" w:cs="仿宋"/>
          <w:sz w:val="32"/>
          <w:szCs w:val="32"/>
        </w:rPr>
        <w:t>电力零售交易可以满足我院的用电需求，保证全年用电量单价的稳定性。</w:t>
      </w:r>
    </w:p>
    <w:p w14:paraId="2DE0189D">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二、特定资格：需为在广东电力交易中心完成准入注册且缴纳 2025 年履约担保的售电公司，需提供电力交易中心“市场信息披露-经营主体-售电公司基本信息”界面截图或交易中心登记公示公告、2025年履约担保有效证明材料</w:t>
      </w:r>
      <w:r>
        <w:rPr>
          <w:rFonts w:hint="eastAsia" w:ascii="仿宋" w:hAnsi="仿宋" w:eastAsia="仿宋" w:cs="仿宋"/>
          <w:sz w:val="32"/>
          <w:szCs w:val="32"/>
        </w:rPr>
        <w:t xml:space="preserve"> (须提供证明)。</w:t>
      </w:r>
    </w:p>
    <w:p w14:paraId="7428B577">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三、</w:t>
      </w:r>
      <w:r>
        <w:rPr>
          <w:rFonts w:hint="eastAsia" w:ascii="仿宋" w:hAnsi="仿宋" w:eastAsia="仿宋" w:cs="仿宋"/>
          <w:sz w:val="32"/>
          <w:szCs w:val="32"/>
        </w:rPr>
        <w:t>业绩要求：全国电力交易的售电公司优先； (包括但不限于广东省内)</w:t>
      </w:r>
    </w:p>
    <w:p w14:paraId="74ACAF1C">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四、</w:t>
      </w:r>
      <w:r>
        <w:rPr>
          <w:rFonts w:hint="eastAsia" w:ascii="仿宋" w:hAnsi="仿宋" w:eastAsia="仿宋" w:cs="仿宋"/>
          <w:sz w:val="32"/>
          <w:szCs w:val="32"/>
        </w:rPr>
        <w:t>提供关于售电的方案或其他更优惠的售电方案  (请提供方案描述 ) 。</w:t>
      </w:r>
    </w:p>
    <w:p w14:paraId="66AB4ED3">
      <w:pPr>
        <w:widowControl/>
        <w:ind w:firstLine="640" w:firstLineChars="200"/>
        <w:jc w:val="left"/>
        <w:rPr>
          <w:rFonts w:hint="eastAsia" w:ascii="仿宋" w:hAnsi="仿宋" w:eastAsia="仿宋" w:cs="仿宋"/>
          <w:sz w:val="32"/>
          <w:szCs w:val="32"/>
          <w:lang w:val="en-US" w:eastAsia="zh-CN"/>
        </w:rPr>
      </w:pPr>
      <w:r>
        <w:rPr>
          <w:rFonts w:hint="eastAsia" w:ascii="仿宋" w:hAnsi="仿宋" w:eastAsia="仿宋" w:cs="仿宋"/>
          <w:sz w:val="32"/>
          <w:szCs w:val="32"/>
          <w:lang w:val="en-US" w:eastAsia="zh-CN"/>
        </w:rPr>
        <w:t>本项目电力交易价格模式采用固定价格+联动价格的方式，固定价格(平段)最高限价为0.554元/千瓦时，固定价格部分电量为实际用电量的90%，联动价格部分为实际用电量的10%，联动价格部分双方按照市场月度综合价结算(含分摊)，据实结算;电价浮动费用为0元/千瓦时，用电量偏差考核由售电公司承担;峰平谷电价比例及其他约定以政府、广东交易中心政策及规则为准。</w:t>
      </w:r>
    </w:p>
    <w:p w14:paraId="1BB3A5FF">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五、</w:t>
      </w:r>
      <w:r>
        <w:rPr>
          <w:rFonts w:hint="eastAsia" w:ascii="仿宋" w:hAnsi="仿宋" w:eastAsia="仿宋" w:cs="仿宋"/>
          <w:sz w:val="32"/>
          <w:szCs w:val="32"/>
        </w:rPr>
        <w:t>提供202</w:t>
      </w:r>
      <w:r>
        <w:rPr>
          <w:rFonts w:hint="eastAsia" w:ascii="仿宋" w:hAnsi="仿宋" w:eastAsia="仿宋" w:cs="仿宋"/>
          <w:sz w:val="32"/>
          <w:szCs w:val="32"/>
          <w:lang w:val="en-US" w:eastAsia="zh-CN"/>
        </w:rPr>
        <w:t>3</w:t>
      </w:r>
      <w:r>
        <w:rPr>
          <w:rFonts w:hint="eastAsia" w:ascii="仿宋" w:hAnsi="仿宋" w:eastAsia="仿宋" w:cs="仿宋"/>
          <w:sz w:val="32"/>
          <w:szCs w:val="32"/>
        </w:rPr>
        <w:t>、202</w:t>
      </w:r>
      <w:r>
        <w:rPr>
          <w:rFonts w:hint="eastAsia" w:ascii="仿宋" w:hAnsi="仿宋" w:eastAsia="仿宋" w:cs="仿宋"/>
          <w:sz w:val="32"/>
          <w:szCs w:val="32"/>
          <w:lang w:val="en-US" w:eastAsia="zh-CN"/>
        </w:rPr>
        <w:t>4</w:t>
      </w:r>
      <w:r>
        <w:rPr>
          <w:rFonts w:hint="eastAsia" w:ascii="仿宋" w:hAnsi="仿宋" w:eastAsia="仿宋" w:cs="仿宋"/>
          <w:sz w:val="32"/>
          <w:szCs w:val="32"/>
        </w:rPr>
        <w:t>年度全年度贵公司售电与供电单价的明细表，让我院了解参与售电交易具体单价明细。</w:t>
      </w:r>
    </w:p>
    <w:p w14:paraId="30AF276F">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六、</w:t>
      </w:r>
      <w:r>
        <w:rPr>
          <w:rFonts w:hint="eastAsia" w:ascii="仿宋" w:hAnsi="仿宋" w:eastAsia="仿宋" w:cs="仿宋"/>
          <w:sz w:val="32"/>
          <w:szCs w:val="32"/>
        </w:rPr>
        <w:t>每月缴费单出单后明确说明电费单价计算方式，免费协助甲方做好售电市场的动向及购售电方面的优惠信息及办理广东电力零售市场交易管理系统手续。</w:t>
      </w:r>
    </w:p>
    <w:p w14:paraId="02BC3632">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七、</w:t>
      </w:r>
      <w:r>
        <w:rPr>
          <w:rFonts w:hint="eastAsia" w:ascii="仿宋" w:hAnsi="仿宋" w:eastAsia="仿宋" w:cs="仿宋"/>
          <w:sz w:val="32"/>
          <w:szCs w:val="32"/>
        </w:rPr>
        <w:t>提供广东电力零售市场交易案例，及相关采购流程。</w:t>
      </w:r>
    </w:p>
    <w:p w14:paraId="5BF7C65C">
      <w:pPr>
        <w:ind w:firstLine="640" w:firstLineChars="200"/>
        <w:rPr>
          <w:rFonts w:hint="eastAsia" w:ascii="仿宋" w:hAnsi="仿宋" w:eastAsia="仿宋" w:cs="仿宋"/>
          <w:sz w:val="32"/>
          <w:szCs w:val="32"/>
        </w:rPr>
      </w:pPr>
      <w:r>
        <w:rPr>
          <w:rFonts w:hint="eastAsia" w:ascii="仿宋" w:hAnsi="仿宋" w:eastAsia="仿宋" w:cs="仿宋"/>
          <w:kern w:val="0"/>
          <w:sz w:val="32"/>
          <w:szCs w:val="32"/>
          <w:lang w:val="en-US" w:eastAsia="zh-CN"/>
        </w:rPr>
        <w:t>八、售电企业需提供全程配合我院（代办）相关的备案等服务。</w:t>
      </w:r>
    </w:p>
    <w:p w14:paraId="1FE33BF4">
      <w:pPr>
        <w:ind w:firstLine="640" w:firstLineChars="200"/>
        <w:rPr>
          <w:rFonts w:hint="eastAsia" w:ascii="仿宋" w:hAnsi="仿宋" w:eastAsia="仿宋" w:cs="仿宋"/>
          <w:sz w:val="32"/>
          <w:szCs w:val="32"/>
        </w:rPr>
      </w:pPr>
      <w:r>
        <w:rPr>
          <w:rFonts w:hint="eastAsia" w:ascii="仿宋" w:hAnsi="仿宋" w:eastAsia="仿宋" w:cs="仿宋"/>
          <w:sz w:val="32"/>
          <w:szCs w:val="32"/>
          <w:lang w:val="en-US" w:eastAsia="zh-CN"/>
        </w:rPr>
        <w:t>九、</w:t>
      </w:r>
      <w:r>
        <w:rPr>
          <w:rFonts w:hint="eastAsia" w:ascii="仿宋" w:hAnsi="仿宋" w:eastAsia="仿宋" w:cs="仿宋"/>
          <w:sz w:val="32"/>
          <w:szCs w:val="32"/>
        </w:rPr>
        <w:t>采购期限预计为</w:t>
      </w:r>
      <w:r>
        <w:rPr>
          <w:rFonts w:hint="eastAsia" w:ascii="仿宋" w:hAnsi="仿宋" w:eastAsia="仿宋" w:cs="仿宋"/>
          <w:sz w:val="32"/>
          <w:szCs w:val="32"/>
          <w:lang w:val="en-US" w:eastAsia="zh-CN"/>
        </w:rPr>
        <w:t>自合同签定之日起至2025年12月31日止</w:t>
      </w:r>
      <w:r>
        <w:rPr>
          <w:rFonts w:hint="eastAsia" w:ascii="仿宋" w:hAnsi="仿宋" w:eastAsia="仿宋" w:cs="仿宋"/>
          <w:sz w:val="32"/>
          <w:szCs w:val="32"/>
        </w:rPr>
        <w:t>。</w:t>
      </w:r>
    </w:p>
    <w:p w14:paraId="232176DE">
      <w:pPr>
        <w:rPr>
          <w:rFonts w:hint="eastAsia" w:ascii="仿宋" w:hAnsi="仿宋" w:eastAsia="仿宋" w:cs="仿宋"/>
          <w:sz w:val="32"/>
          <w:szCs w:val="32"/>
        </w:rPr>
      </w:pPr>
    </w:p>
    <w:p w14:paraId="6B71A95B">
      <w:pPr>
        <w:jc w:val="right"/>
        <w:rPr>
          <w:rFonts w:hint="eastAsia" w:ascii="仿宋" w:hAnsi="仿宋" w:eastAsia="仿宋" w:cs="仿宋"/>
          <w:sz w:val="32"/>
          <w:szCs w:val="32"/>
        </w:rPr>
      </w:pPr>
      <w:bookmarkStart w:id="1" w:name="_GoBack"/>
      <w:bookmarkEnd w:id="1"/>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5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39F9488A"/>
    <w:rsid w:val="0A7A70C4"/>
    <w:rsid w:val="39F9488A"/>
    <w:rsid w:val="4A175ED9"/>
    <w:rsid w:val="4B944FA5"/>
    <w:rsid w:val="50257C41"/>
    <w:rsid w:val="529C0EC2"/>
    <w:rsid w:val="565152A5"/>
    <w:rsid w:val="59BB12F3"/>
    <w:rsid w:val="6D7E51A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Company>金湾区</Company>
  <Pages>2</Pages>
  <Words>821</Words>
  <Characters>870</Characters>
  <Lines>0</Lines>
  <Paragraphs>0</Paragraphs>
  <TotalTime>4</TotalTime>
  <ScaleCrop>false</ScaleCrop>
  <LinksUpToDate>false</LinksUpToDate>
  <CharactersWithSpaces>878</CharactersWithSpaces>
  <Application>WPS Office_12.1.0.19770_F1E327BC-269C-435d-A152-05C5408002CA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2024-12-26T08:25:00Z</dcterms:created>
  <dc:creator>admin</dc:creator>
  <cp:lastModifiedBy>张天世</cp:lastModifiedBy>
  <cp:lastPrinted>2025-01-06T06:33:00Z</cp:lastPrinted>
  <dcterms:modified xsi:type="dcterms:W3CDTF">2025-01-14T08:28:23Z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2052-12.1.0.19770</vt:lpwstr>
  </property>
  <property fmtid="{D5CDD505-2E9C-101B-9397-08002B2CF9AE}" pid="3" name="ICV">
    <vt:lpwstr>25AF254827884979B740711CD3774448_13</vt:lpwstr>
  </property>
  <property fmtid="{D5CDD505-2E9C-101B-9397-08002B2CF9AE}" pid="4" name="KSOTemplateDocerSaveRecord">
    <vt:lpwstr>eyJoZGlkIjoiZDcwZTlmMGQyNDQ0NmY2NzRmMWEyZmIyYWQ0ZDQ2MDgifQ==</vt:lpwstr>
  </property>
</Properties>
</file>