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420"/>
        <w:rPr>
          <w:rFonts w:hint="eastAsia" w:ascii="黑体" w:hAnsi="黑体" w:eastAsia="黑体" w:cs="黑体"/>
          <w:b/>
          <w:bCs/>
          <w:color w:val="auto"/>
          <w:sz w:val="36"/>
          <w:szCs w:val="36"/>
          <w:highlight w:val="none"/>
          <w:lang w:val="en-US" w:eastAsia="zh-CN"/>
        </w:rPr>
      </w:pPr>
      <w:bookmarkStart w:id="0" w:name="_Hlk160011007"/>
      <w:r>
        <w:rPr>
          <w:rFonts w:hint="eastAsia" w:ascii="方正仿宋_GBK" w:hAnsi="方正仿宋_GBK" w:eastAsia="方正仿宋_GBK" w:cs="方正仿宋_GBK"/>
          <w:b/>
          <w:bCs/>
        </w:rPr>
        <w:t xml:space="preserve"> </w:t>
      </w:r>
      <w:r>
        <w:rPr>
          <w:rFonts w:hint="eastAsia" w:ascii="黑体" w:hAnsi="黑体" w:eastAsia="黑体" w:cs="黑体"/>
          <w:b/>
          <w:bCs/>
          <w:sz w:val="36"/>
          <w:szCs w:val="36"/>
          <w:lang w:val="en-US" w:eastAsia="zh-CN"/>
        </w:rPr>
        <w:t>珠海市</w:t>
      </w:r>
      <w:r>
        <w:rPr>
          <w:rFonts w:hint="eastAsia" w:ascii="黑体" w:hAnsi="黑体" w:eastAsia="黑体" w:cs="黑体"/>
          <w:b/>
          <w:bCs/>
          <w:color w:val="auto"/>
          <w:sz w:val="36"/>
          <w:szCs w:val="36"/>
          <w:highlight w:val="none"/>
          <w:lang w:val="en-US" w:eastAsia="zh-CN"/>
        </w:rPr>
        <w:t>五人民医院南水院区食堂经营权</w:t>
      </w:r>
    </w:p>
    <w:p>
      <w:pPr>
        <w:pStyle w:val="3"/>
        <w:ind w:firstLine="420"/>
        <w:rPr>
          <w:rFonts w:hint="eastAsia" w:ascii="黑体" w:hAnsi="黑体" w:eastAsia="黑体" w:cs="黑体"/>
          <w:b/>
          <w:sz w:val="36"/>
          <w:szCs w:val="36"/>
          <w:lang w:val="en-US" w:eastAsia="zh-CN"/>
        </w:rPr>
      </w:pPr>
      <w:r>
        <w:rPr>
          <w:rFonts w:hint="eastAsia" w:ascii="黑体" w:hAnsi="黑体" w:eastAsia="黑体" w:cs="黑体"/>
          <w:b/>
          <w:bCs/>
          <w:color w:val="auto"/>
          <w:sz w:val="36"/>
          <w:szCs w:val="36"/>
          <w:highlight w:val="none"/>
          <w:lang w:val="en-US" w:eastAsia="zh-CN"/>
        </w:rPr>
        <w:t>采购</w:t>
      </w:r>
      <w:r>
        <w:rPr>
          <w:rFonts w:hint="eastAsia" w:ascii="黑体" w:hAnsi="黑体" w:eastAsia="黑体" w:cs="黑体"/>
          <w:b/>
          <w:bCs/>
          <w:i w:val="0"/>
          <w:iCs w:val="0"/>
          <w:caps w:val="0"/>
          <w:color w:val="auto"/>
          <w:spacing w:val="0"/>
          <w:sz w:val="36"/>
          <w:szCs w:val="36"/>
          <w:shd w:val="clear" w:color="auto" w:fill="FFFFFF"/>
        </w:rPr>
        <w:t>项目</w:t>
      </w:r>
      <w:r>
        <w:rPr>
          <w:rFonts w:hint="eastAsia" w:ascii="黑体" w:hAnsi="黑体" w:eastAsia="黑体" w:cs="黑体"/>
          <w:b/>
          <w:bCs/>
          <w:i w:val="0"/>
          <w:iCs w:val="0"/>
          <w:caps w:val="0"/>
          <w:color w:val="auto"/>
          <w:spacing w:val="0"/>
          <w:sz w:val="36"/>
          <w:szCs w:val="36"/>
          <w:shd w:val="clear" w:color="auto" w:fill="FFFFFF"/>
          <w:lang w:val="en-US" w:eastAsia="zh-CN"/>
        </w:rPr>
        <w:t>需求书</w:t>
      </w:r>
    </w:p>
    <w:bookmarkEnd w:id="0"/>
    <w:p>
      <w:pPr>
        <w:pStyle w:val="4"/>
        <w:jc w:val="both"/>
        <w:rPr>
          <w:rFonts w:hint="eastAsia" w:ascii="宋体" w:hAnsi="宋体" w:eastAsia="宋体" w:cs="宋体"/>
          <w:b/>
          <w:bCs/>
          <w:kern w:val="0"/>
          <w:sz w:val="21"/>
          <w:szCs w:val="21"/>
        </w:rPr>
      </w:pPr>
      <w:r>
        <w:rPr>
          <w:rFonts w:hint="eastAsia" w:ascii="宋体" w:hAnsi="宋体" w:eastAsia="宋体" w:cs="宋体"/>
          <w:b/>
          <w:sz w:val="21"/>
          <w:szCs w:val="21"/>
        </w:rPr>
        <w:t>一、项目内容</w:t>
      </w:r>
    </w:p>
    <w:tbl>
      <w:tblPr>
        <w:tblStyle w:val="8"/>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1"/>
        <w:gridCol w:w="1005"/>
        <w:gridCol w:w="6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1851" w:type="dxa"/>
            <w:tcBorders>
              <w:top w:val="single" w:color="auto" w:sz="4" w:space="0"/>
              <w:left w:val="single" w:color="auto" w:sz="4" w:space="0"/>
              <w:bottom w:val="single" w:color="auto" w:sz="4" w:space="0"/>
              <w:right w:val="single" w:color="auto" w:sz="4" w:space="0"/>
            </w:tcBorders>
            <w:shd w:val="clear" w:color="auto" w:fill="EEECE1"/>
            <w:noWrap w:val="0"/>
            <w:vAlign w:val="center"/>
          </w:tcPr>
          <w:p>
            <w:pPr>
              <w:spacing w:line="360" w:lineRule="auto"/>
              <w:jc w:val="center"/>
              <w:rPr>
                <w:rFonts w:hint="eastAsia" w:ascii="宋体" w:hAnsi="宋体" w:eastAsia="宋体" w:cs="宋体"/>
                <w:b/>
                <w:bCs/>
                <w:kern w:val="2"/>
                <w:sz w:val="21"/>
                <w:szCs w:val="21"/>
                <w:lang w:val="en-US" w:eastAsia="zh-CN"/>
              </w:rPr>
            </w:pPr>
            <w:r>
              <w:rPr>
                <w:rFonts w:hint="eastAsia" w:ascii="宋体" w:hAnsi="宋体" w:eastAsia="宋体" w:cs="宋体"/>
                <w:b/>
                <w:bCs/>
                <w:kern w:val="2"/>
                <w:sz w:val="21"/>
                <w:szCs w:val="21"/>
              </w:rPr>
              <w:t>采购</w:t>
            </w:r>
            <w:r>
              <w:rPr>
                <w:rFonts w:hint="eastAsia" w:ascii="宋体" w:hAnsi="宋体" w:eastAsia="宋体" w:cs="宋体"/>
                <w:b/>
                <w:bCs/>
                <w:kern w:val="2"/>
                <w:sz w:val="21"/>
                <w:szCs w:val="21"/>
                <w:lang w:val="en-US" w:eastAsia="zh-CN"/>
              </w:rPr>
              <w:t>标的</w:t>
            </w:r>
          </w:p>
        </w:tc>
        <w:tc>
          <w:tcPr>
            <w:tcW w:w="1005" w:type="dxa"/>
            <w:tcBorders>
              <w:top w:val="single" w:color="auto" w:sz="4" w:space="0"/>
              <w:left w:val="single" w:color="auto" w:sz="4" w:space="0"/>
              <w:bottom w:val="single" w:color="auto" w:sz="4" w:space="0"/>
              <w:right w:val="single" w:color="auto" w:sz="4" w:space="0"/>
            </w:tcBorders>
            <w:shd w:val="clear" w:color="auto" w:fill="EEECE1"/>
            <w:noWrap w:val="0"/>
            <w:vAlign w:val="center"/>
          </w:tcPr>
          <w:p>
            <w:pPr>
              <w:spacing w:line="360" w:lineRule="auto"/>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数量</w:t>
            </w:r>
          </w:p>
        </w:tc>
        <w:tc>
          <w:tcPr>
            <w:tcW w:w="6782" w:type="dxa"/>
            <w:tcBorders>
              <w:top w:val="single" w:color="auto" w:sz="4" w:space="0"/>
              <w:left w:val="single" w:color="auto" w:sz="4" w:space="0"/>
              <w:bottom w:val="single" w:color="auto" w:sz="4" w:space="0"/>
              <w:right w:val="single" w:color="auto" w:sz="4" w:space="0"/>
            </w:tcBorders>
            <w:shd w:val="clear" w:color="auto" w:fill="EEECE1"/>
            <w:noWrap w:val="0"/>
            <w:vAlign w:val="center"/>
          </w:tcPr>
          <w:p>
            <w:pPr>
              <w:spacing w:line="360" w:lineRule="auto"/>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经营期限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185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食堂经营权</w:t>
            </w:r>
          </w:p>
        </w:tc>
        <w:tc>
          <w:tcPr>
            <w:tcW w:w="100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项</w:t>
            </w:r>
            <w:r>
              <w:rPr>
                <w:rFonts w:hint="eastAsia" w:ascii="宋体" w:hAnsi="宋体" w:eastAsia="宋体" w:cs="宋体"/>
                <w:sz w:val="21"/>
                <w:szCs w:val="21"/>
                <w:lang w:eastAsia="zh-CN"/>
              </w:rPr>
              <w:t>）</w:t>
            </w:r>
          </w:p>
        </w:tc>
        <w:tc>
          <w:tcPr>
            <w:tcW w:w="6782"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left"/>
              <w:rPr>
                <w:rFonts w:hint="eastAsia" w:ascii="宋体" w:hAnsi="宋体" w:eastAsia="宋体" w:cs="宋体"/>
                <w:kern w:val="2"/>
                <w:sz w:val="21"/>
                <w:szCs w:val="21"/>
                <w:lang w:val="en-US" w:eastAsia="zh-CN"/>
              </w:rPr>
            </w:pPr>
            <w:r>
              <w:rPr>
                <w:rFonts w:hint="eastAsia" w:ascii="宋体" w:hAnsi="宋体" w:eastAsia="宋体" w:cs="宋体"/>
                <w:sz w:val="21"/>
                <w:szCs w:val="21"/>
                <w:lang w:eastAsia="zh-CN"/>
              </w:rPr>
              <w:t>自合同生效之日起至</w:t>
            </w:r>
            <w:r>
              <w:rPr>
                <w:rFonts w:hint="eastAsia" w:ascii="宋体" w:hAnsi="宋体" w:eastAsia="宋体" w:cs="宋体"/>
                <w:sz w:val="21"/>
                <w:szCs w:val="21"/>
                <w:lang w:val="en-US" w:eastAsia="zh-CN"/>
              </w:rPr>
              <w:t>2027</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9约30日</w:t>
            </w:r>
            <w:r>
              <w:rPr>
                <w:rFonts w:hint="eastAsia" w:ascii="宋体" w:hAnsi="宋体" w:eastAsia="宋体" w:cs="宋体"/>
                <w:sz w:val="21"/>
                <w:szCs w:val="21"/>
                <w:lang w:eastAsia="zh-CN"/>
              </w:rPr>
              <w:t>止。合同采用考核制的方式一年一续签，招标人根据该年度综合考核评价结果</w:t>
            </w:r>
            <w:r>
              <w:rPr>
                <w:rFonts w:hint="eastAsia" w:ascii="宋体" w:hAnsi="宋体" w:eastAsia="宋体" w:cs="宋体"/>
                <w:sz w:val="21"/>
                <w:szCs w:val="21"/>
                <w:lang w:val="en-US" w:eastAsia="zh-CN"/>
              </w:rPr>
              <w:t>决定是否续签下一年度合同</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该</w:t>
            </w:r>
            <w:r>
              <w:rPr>
                <w:rFonts w:hint="eastAsia" w:ascii="宋体" w:hAnsi="宋体" w:eastAsia="宋体" w:cs="宋体"/>
                <w:sz w:val="21"/>
                <w:szCs w:val="21"/>
                <w:lang w:eastAsia="zh-CN"/>
              </w:rPr>
              <w:t>年度综合考核评价结果合格</w:t>
            </w:r>
            <w:r>
              <w:rPr>
                <w:rFonts w:hint="eastAsia" w:ascii="宋体" w:hAnsi="宋体" w:eastAsia="宋体" w:cs="宋体"/>
                <w:sz w:val="21"/>
                <w:szCs w:val="21"/>
                <w:lang w:val="en-US" w:eastAsia="zh-CN"/>
              </w:rPr>
              <w:t>的</w:t>
            </w:r>
            <w:r>
              <w:rPr>
                <w:rFonts w:hint="eastAsia" w:ascii="宋体" w:hAnsi="宋体" w:eastAsia="宋体" w:cs="宋体"/>
                <w:sz w:val="21"/>
                <w:szCs w:val="21"/>
                <w:lang w:eastAsia="zh-CN"/>
              </w:rPr>
              <w:t>获得续签资格，不合格</w:t>
            </w:r>
            <w:r>
              <w:rPr>
                <w:rFonts w:hint="eastAsia" w:ascii="宋体" w:hAnsi="宋体" w:eastAsia="宋体" w:cs="宋体"/>
                <w:sz w:val="21"/>
                <w:szCs w:val="21"/>
                <w:lang w:val="en-US" w:eastAsia="zh-CN"/>
              </w:rPr>
              <w:t>的</w:t>
            </w:r>
            <w:r>
              <w:rPr>
                <w:rFonts w:hint="eastAsia" w:ascii="宋体" w:hAnsi="宋体" w:eastAsia="宋体" w:cs="宋体"/>
                <w:sz w:val="21"/>
                <w:szCs w:val="21"/>
                <w:lang w:eastAsia="zh-CN"/>
              </w:rPr>
              <w:t>取消续签资格。</w:t>
            </w:r>
            <w:r>
              <w:rPr>
                <w:rFonts w:hint="eastAsia" w:ascii="宋体" w:hAnsi="宋体" w:eastAsia="宋体" w:cs="宋体"/>
                <w:sz w:val="21"/>
                <w:szCs w:val="21"/>
                <w:lang w:val="en-US" w:eastAsia="zh-CN"/>
              </w:rPr>
              <w:t>中标后前一月为考核试用期，不合格取消经营资格。</w:t>
            </w:r>
          </w:p>
        </w:tc>
      </w:tr>
    </w:tbl>
    <w:p>
      <w:pPr>
        <w:tabs>
          <w:tab w:val="left" w:pos="1080"/>
        </w:tabs>
        <w:spacing w:line="360" w:lineRule="auto"/>
        <w:ind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注：</w:t>
      </w:r>
    </w:p>
    <w:p>
      <w:pPr>
        <w:tabs>
          <w:tab w:val="left" w:pos="1080"/>
        </w:tabs>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1.本项目收入源于项目服务对象，招标人不投入所有与食堂经营相关的资金，但提供经营场所并收取租金，</w:t>
      </w:r>
      <w:r>
        <w:rPr>
          <w:rFonts w:hint="eastAsia" w:ascii="宋体" w:hAnsi="宋体" w:eastAsia="宋体" w:cs="宋体"/>
          <w:b/>
          <w:bCs/>
          <w:sz w:val="21"/>
          <w:szCs w:val="21"/>
        </w:rPr>
        <w:t>服务期内的服务次数及产生的实际业务额属于未确定因素，投标人须在报价时考量各项相关因素。</w:t>
      </w:r>
    </w:p>
    <w:p>
      <w:pPr>
        <w:tabs>
          <w:tab w:val="left" w:pos="1080"/>
        </w:tabs>
        <w:spacing w:beforeAutospacing="0" w:afterAutospacing="0" w:line="360" w:lineRule="auto"/>
        <w:ind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2.本项目就</w:t>
      </w:r>
      <w:r>
        <w:rPr>
          <w:rFonts w:hint="eastAsia" w:ascii="宋体" w:hAnsi="宋体" w:cs="宋体"/>
          <w:b/>
          <w:bCs/>
          <w:sz w:val="21"/>
          <w:szCs w:val="21"/>
          <w:lang w:val="en-US" w:eastAsia="zh-CN"/>
        </w:rPr>
        <w:t>租金</w:t>
      </w:r>
      <w:r>
        <w:rPr>
          <w:rFonts w:hint="eastAsia" w:ascii="宋体" w:hAnsi="宋体" w:eastAsia="宋体" w:cs="宋体"/>
          <w:b/>
          <w:bCs/>
          <w:sz w:val="21"/>
          <w:szCs w:val="21"/>
          <w:lang w:val="en-US" w:eastAsia="zh-CN"/>
        </w:rPr>
        <w:t>进行报价，投标人需根据现有场地报出合理价格。</w:t>
      </w:r>
    </w:p>
    <w:p>
      <w:pPr>
        <w:pStyle w:val="2"/>
        <w:spacing w:before="0" w:beforeLines="0" w:beforeAutospacing="0" w:after="156" w:afterLines="0" w:afterAutospacing="0"/>
        <w:ind w:firstLine="422" w:firstLineChars="200"/>
        <w:rPr>
          <w:rFonts w:hint="eastAsia" w:ascii="宋体" w:hAnsi="宋体" w:eastAsia="宋体" w:cs="宋体"/>
          <w:b/>
          <w:bCs/>
          <w:lang w:val="en-US"/>
        </w:rPr>
      </w:pPr>
      <w:r>
        <w:rPr>
          <w:rFonts w:hint="eastAsia" w:ascii="宋体" w:hAnsi="宋体" w:eastAsia="宋体" w:cs="宋体"/>
          <w:b/>
          <w:bCs/>
          <w:sz w:val="21"/>
          <w:szCs w:val="21"/>
          <w:lang w:val="en-US" w:eastAsia="zh-CN"/>
        </w:rPr>
        <w:t>3.场地内现有厨具等物品设备属当前运营公司所有，投标人如中标，需自行配备相应设备或从当前运营公司购买，招标人不参与其中事宜。</w:t>
      </w:r>
    </w:p>
    <w:p>
      <w:pPr>
        <w:pStyle w:val="4"/>
        <w:spacing w:beforeAutospacing="0" w:line="360" w:lineRule="auto"/>
        <w:jc w:val="both"/>
        <w:rPr>
          <w:rFonts w:hint="eastAsia" w:ascii="宋体" w:hAnsi="宋体" w:eastAsia="宋体" w:cs="宋体"/>
          <w:sz w:val="21"/>
          <w:szCs w:val="21"/>
        </w:rPr>
      </w:pPr>
      <w:r>
        <w:rPr>
          <w:rFonts w:hint="eastAsia" w:ascii="宋体" w:hAnsi="宋体" w:eastAsia="宋体" w:cs="宋体"/>
          <w:b/>
          <w:sz w:val="21"/>
          <w:szCs w:val="21"/>
        </w:rPr>
        <w:t>二、</w:t>
      </w:r>
      <w:bookmarkStart w:id="1" w:name="_Toc28031"/>
      <w:r>
        <w:rPr>
          <w:rFonts w:hint="eastAsia" w:ascii="宋体" w:hAnsi="宋体" w:eastAsia="宋体" w:cs="宋体"/>
          <w:b/>
          <w:sz w:val="21"/>
          <w:szCs w:val="21"/>
        </w:rPr>
        <w:t>项目要求</w:t>
      </w:r>
      <w:bookmarkEnd w:id="1"/>
    </w:p>
    <w:p>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一</w:t>
      </w:r>
      <w:r>
        <w:rPr>
          <w:rFonts w:hint="eastAsia" w:ascii="宋体" w:hAnsi="宋体" w:eastAsia="宋体" w:cs="宋体"/>
          <w:b/>
          <w:bCs/>
          <w:sz w:val="21"/>
          <w:szCs w:val="21"/>
          <w:lang w:eastAsia="zh-CN"/>
        </w:rPr>
        <w:t>）</w:t>
      </w:r>
      <w:r>
        <w:rPr>
          <w:rFonts w:hint="eastAsia" w:ascii="宋体" w:hAnsi="宋体" w:eastAsia="宋体" w:cs="宋体"/>
          <w:b/>
          <w:bCs/>
          <w:sz w:val="21"/>
          <w:szCs w:val="21"/>
        </w:rPr>
        <w:t>项目</w:t>
      </w:r>
      <w:r>
        <w:rPr>
          <w:rFonts w:hint="eastAsia" w:ascii="宋体" w:hAnsi="宋体" w:eastAsia="宋体" w:cs="宋体"/>
          <w:b/>
          <w:bCs/>
          <w:sz w:val="21"/>
          <w:szCs w:val="21"/>
          <w:lang w:val="en-US" w:eastAsia="zh-CN"/>
        </w:rPr>
        <w:t>背景</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1.项目实施地</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招标人</w:t>
      </w:r>
      <w:r>
        <w:rPr>
          <w:rFonts w:hint="eastAsia" w:ascii="宋体" w:hAnsi="宋体" w:eastAsia="宋体" w:cs="宋体"/>
          <w:sz w:val="21"/>
          <w:szCs w:val="21"/>
        </w:rPr>
        <w:t>食堂</w:t>
      </w:r>
      <w:r>
        <w:rPr>
          <w:rFonts w:hint="eastAsia" w:ascii="宋体" w:hAnsi="宋体" w:eastAsia="宋体" w:cs="宋体"/>
          <w:sz w:val="21"/>
          <w:szCs w:val="21"/>
          <w:lang w:val="en-US" w:eastAsia="zh-CN"/>
        </w:rPr>
        <w:t>包含厨房、仓库及餐厅，总</w:t>
      </w:r>
      <w:r>
        <w:rPr>
          <w:rFonts w:hint="eastAsia" w:ascii="宋体" w:hAnsi="宋体" w:eastAsia="宋体" w:cs="宋体"/>
          <w:sz w:val="21"/>
          <w:szCs w:val="21"/>
          <w:lang w:eastAsia="zh-CN"/>
        </w:rPr>
        <w:t>面积</w:t>
      </w:r>
      <w:r>
        <w:rPr>
          <w:rFonts w:hint="eastAsia" w:ascii="宋体" w:hAnsi="宋体" w:eastAsia="宋体" w:cs="宋体"/>
          <w:sz w:val="21"/>
          <w:szCs w:val="21"/>
          <w:lang w:val="en-US" w:eastAsia="zh-CN"/>
        </w:rPr>
        <w:t>约</w:t>
      </w:r>
      <w:r>
        <w:rPr>
          <w:rFonts w:hint="eastAsia" w:ascii="宋体" w:hAnsi="宋体" w:eastAsia="宋体" w:cs="宋体"/>
          <w:sz w:val="21"/>
          <w:szCs w:val="21"/>
          <w:lang w:eastAsia="zh-CN"/>
        </w:rPr>
        <w:t>为</w:t>
      </w:r>
      <w:r>
        <w:rPr>
          <w:rFonts w:hint="eastAsia" w:ascii="宋体" w:hAnsi="宋体" w:eastAsia="宋体" w:cs="宋体"/>
          <w:sz w:val="21"/>
          <w:szCs w:val="21"/>
          <w:lang w:val="en-US" w:eastAsia="zh-CN"/>
        </w:rPr>
        <w:t>194㎡。</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2.项目实施基本方式</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正式</w:t>
      </w:r>
      <w:r>
        <w:rPr>
          <w:rFonts w:hint="eastAsia" w:ascii="宋体" w:hAnsi="宋体" w:eastAsia="宋体" w:cs="宋体"/>
          <w:sz w:val="21"/>
          <w:szCs w:val="21"/>
          <w:lang w:eastAsia="zh-CN"/>
        </w:rPr>
        <w:t>运营</w:t>
      </w:r>
      <w:r>
        <w:rPr>
          <w:rFonts w:hint="eastAsia" w:ascii="宋体" w:hAnsi="宋体" w:eastAsia="宋体" w:cs="宋体"/>
          <w:sz w:val="21"/>
          <w:szCs w:val="21"/>
        </w:rPr>
        <w:t>前</w:t>
      </w:r>
      <w:r>
        <w:rPr>
          <w:rFonts w:hint="eastAsia" w:ascii="宋体" w:hAnsi="宋体" w:eastAsia="宋体" w:cs="宋体"/>
          <w:sz w:val="21"/>
          <w:szCs w:val="21"/>
          <w:lang w:eastAsia="zh-CN"/>
        </w:rPr>
        <w:t>，</w:t>
      </w:r>
      <w:r>
        <w:rPr>
          <w:rFonts w:hint="eastAsia" w:ascii="宋体" w:hAnsi="宋体" w:eastAsia="宋体" w:cs="宋体"/>
          <w:sz w:val="21"/>
          <w:szCs w:val="21"/>
        </w:rPr>
        <w:t>根据</w:t>
      </w:r>
      <w:r>
        <w:rPr>
          <w:rFonts w:hint="eastAsia" w:ascii="宋体" w:hAnsi="宋体" w:eastAsia="宋体" w:cs="宋体"/>
          <w:sz w:val="21"/>
          <w:szCs w:val="21"/>
          <w:lang w:eastAsia="zh-CN"/>
        </w:rPr>
        <w:t>有关规范、医院管理要求，中标人</w:t>
      </w:r>
      <w:r>
        <w:rPr>
          <w:rFonts w:hint="eastAsia" w:ascii="宋体" w:hAnsi="宋体" w:eastAsia="宋体" w:cs="宋体"/>
          <w:sz w:val="21"/>
          <w:szCs w:val="21"/>
        </w:rPr>
        <w:t>须</w:t>
      </w:r>
      <w:r>
        <w:rPr>
          <w:rFonts w:hint="eastAsia" w:ascii="宋体" w:hAnsi="宋体" w:eastAsia="宋体" w:cs="宋体"/>
          <w:sz w:val="21"/>
          <w:szCs w:val="21"/>
          <w:lang w:eastAsia="zh-CN"/>
        </w:rPr>
        <w:t>自投资金在规定时间内或改造或增添设施设备（包括不限于场地、设备、设施等）。</w:t>
      </w:r>
      <w:r>
        <w:rPr>
          <w:rFonts w:hint="eastAsia" w:ascii="宋体" w:hAnsi="宋体" w:eastAsia="宋体" w:cs="宋体"/>
          <w:sz w:val="21"/>
          <w:szCs w:val="21"/>
        </w:rPr>
        <w:t>同时在实施过程中，必须加强监督管理，做好防火、防盗、防破坏等工作，避免意外事故发生，如发生安全事故由</w:t>
      </w:r>
      <w:r>
        <w:rPr>
          <w:rFonts w:hint="eastAsia" w:ascii="宋体" w:hAnsi="宋体" w:eastAsia="宋体" w:cs="宋体"/>
          <w:sz w:val="21"/>
          <w:szCs w:val="21"/>
          <w:lang w:eastAsia="zh-CN"/>
        </w:rPr>
        <w:t>中标人</w:t>
      </w:r>
      <w:r>
        <w:rPr>
          <w:rFonts w:hint="eastAsia" w:ascii="宋体" w:hAnsi="宋体" w:eastAsia="宋体" w:cs="宋体"/>
          <w:sz w:val="21"/>
          <w:szCs w:val="21"/>
        </w:rPr>
        <w:t>承担全部责任。食堂装修</w:t>
      </w:r>
      <w:r>
        <w:rPr>
          <w:rFonts w:hint="eastAsia" w:ascii="宋体" w:hAnsi="宋体" w:eastAsia="宋体" w:cs="宋体"/>
          <w:sz w:val="21"/>
          <w:szCs w:val="21"/>
          <w:lang w:eastAsia="zh-CN"/>
        </w:rPr>
        <w:t>、</w:t>
      </w:r>
      <w:r>
        <w:rPr>
          <w:rFonts w:hint="eastAsia" w:ascii="宋体" w:hAnsi="宋体" w:eastAsia="宋体" w:cs="宋体"/>
          <w:sz w:val="21"/>
          <w:szCs w:val="21"/>
        </w:rPr>
        <w:t>设备及所发生的所有水、电、燃气等费用由</w:t>
      </w:r>
      <w:r>
        <w:rPr>
          <w:rFonts w:hint="eastAsia" w:ascii="宋体" w:hAnsi="宋体" w:eastAsia="宋体" w:cs="宋体"/>
          <w:sz w:val="21"/>
          <w:szCs w:val="21"/>
          <w:lang w:eastAsia="zh-CN"/>
        </w:rPr>
        <w:t>中标人</w:t>
      </w:r>
      <w:r>
        <w:rPr>
          <w:rFonts w:hint="eastAsia" w:ascii="宋体" w:hAnsi="宋体" w:eastAsia="宋体" w:cs="宋体"/>
          <w:sz w:val="21"/>
          <w:szCs w:val="21"/>
        </w:rPr>
        <w:t>自行承担，不计入交易价内。</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本项目启动前需交纳三年合同租赁总金额的5%作为履约保证金，以银行转账方式存至招标人指定账户。</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项目服务对象</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506" w:firstLineChars="241"/>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kern w:val="2"/>
          <w:sz w:val="21"/>
          <w:szCs w:val="21"/>
          <w:lang w:val="en-US" w:eastAsia="zh-CN" w:bidi="ar-SA"/>
        </w:rPr>
        <w:t>招标人在岗员工</w:t>
      </w:r>
      <w:r>
        <w:rPr>
          <w:rFonts w:hint="eastAsia" w:cs="宋体"/>
          <w:kern w:val="2"/>
          <w:sz w:val="21"/>
          <w:szCs w:val="21"/>
          <w:lang w:val="en-US" w:eastAsia="zh-CN" w:bidi="ar-SA"/>
        </w:rPr>
        <w:t>290</w:t>
      </w:r>
      <w:r>
        <w:rPr>
          <w:rFonts w:hint="eastAsia" w:ascii="宋体" w:hAnsi="宋体" w:eastAsia="宋体" w:cs="宋体"/>
          <w:kern w:val="2"/>
          <w:sz w:val="21"/>
          <w:szCs w:val="21"/>
          <w:lang w:val="en-US" w:eastAsia="zh-CN" w:bidi="ar-SA"/>
        </w:rPr>
        <w:t>余人，编制床位120张。</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506" w:firstLineChars="241"/>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项目服务对象</w:t>
      </w:r>
      <w:r>
        <w:rPr>
          <w:rFonts w:hint="eastAsia" w:ascii="宋体" w:hAnsi="宋体" w:eastAsia="宋体" w:cs="宋体"/>
          <w:sz w:val="21"/>
          <w:szCs w:val="21"/>
          <w:lang w:val="en-US" w:eastAsia="zh-CN"/>
        </w:rPr>
        <w:t>包括但不限于</w:t>
      </w:r>
      <w:r>
        <w:rPr>
          <w:rFonts w:hint="eastAsia" w:ascii="宋体" w:hAnsi="宋体" w:eastAsia="宋体" w:cs="宋体"/>
          <w:kern w:val="2"/>
          <w:sz w:val="21"/>
          <w:szCs w:val="21"/>
          <w:lang w:val="en-US" w:eastAsia="zh-CN" w:bidi="ar-SA"/>
        </w:rPr>
        <w:t>招标人在岗员工</w:t>
      </w:r>
      <w:r>
        <w:rPr>
          <w:rFonts w:hint="eastAsia" w:ascii="宋体" w:hAnsi="宋体" w:eastAsia="宋体" w:cs="宋体"/>
          <w:sz w:val="21"/>
          <w:szCs w:val="21"/>
        </w:rPr>
        <w:t>、</w:t>
      </w:r>
      <w:r>
        <w:rPr>
          <w:rFonts w:hint="eastAsia" w:ascii="宋体" w:hAnsi="宋体" w:eastAsia="宋体" w:cs="宋体"/>
          <w:sz w:val="21"/>
          <w:szCs w:val="21"/>
          <w:lang w:val="en-US" w:eastAsia="zh-CN"/>
        </w:rPr>
        <w:t>招标人</w:t>
      </w:r>
      <w:r>
        <w:rPr>
          <w:rFonts w:hint="eastAsia" w:ascii="宋体" w:hAnsi="宋体" w:eastAsia="宋体" w:cs="宋体"/>
          <w:sz w:val="21"/>
          <w:szCs w:val="21"/>
        </w:rPr>
        <w:t>物业服务人员、</w:t>
      </w:r>
      <w:r>
        <w:rPr>
          <w:rFonts w:hint="eastAsia" w:ascii="宋体" w:hAnsi="宋体" w:eastAsia="宋体" w:cs="宋体"/>
          <w:sz w:val="21"/>
          <w:szCs w:val="21"/>
          <w:lang w:val="en-US" w:eastAsia="zh-CN"/>
        </w:rPr>
        <w:t>招标人</w:t>
      </w:r>
      <w:r>
        <w:rPr>
          <w:rFonts w:hint="eastAsia" w:ascii="宋体" w:hAnsi="宋体" w:eastAsia="宋体" w:cs="宋体"/>
          <w:sz w:val="21"/>
          <w:szCs w:val="21"/>
        </w:rPr>
        <w:t>业务合作人员、</w:t>
      </w:r>
      <w:r>
        <w:rPr>
          <w:rFonts w:hint="eastAsia" w:ascii="宋体" w:hAnsi="宋体" w:eastAsia="宋体" w:cs="宋体"/>
          <w:sz w:val="21"/>
          <w:szCs w:val="21"/>
          <w:lang w:val="en-US" w:eastAsia="zh-CN"/>
        </w:rPr>
        <w:t>招标人</w:t>
      </w:r>
      <w:r>
        <w:rPr>
          <w:rFonts w:hint="eastAsia" w:ascii="宋体" w:hAnsi="宋体" w:eastAsia="宋体" w:cs="宋体"/>
          <w:sz w:val="21"/>
          <w:szCs w:val="21"/>
        </w:rPr>
        <w:t>临时安排的供餐对象、患者及其护理人员。</w:t>
      </w:r>
    </w:p>
    <w:p>
      <w:pPr>
        <w:pageBreakBefore w:val="0"/>
        <w:widowControl w:val="0"/>
        <w:tabs>
          <w:tab w:val="center" w:pos="4380"/>
        </w:tabs>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4.项目</w:t>
      </w:r>
      <w:r>
        <w:rPr>
          <w:rFonts w:hint="eastAsia" w:ascii="宋体" w:hAnsi="宋体" w:eastAsia="宋体" w:cs="宋体"/>
          <w:sz w:val="21"/>
          <w:szCs w:val="21"/>
        </w:rPr>
        <w:t>经营期</w:t>
      </w:r>
      <w:r>
        <w:rPr>
          <w:rFonts w:hint="eastAsia" w:ascii="宋体" w:hAnsi="宋体" w:eastAsia="宋体" w:cs="宋体"/>
          <w:sz w:val="21"/>
          <w:szCs w:val="21"/>
          <w:lang w:val="en-US" w:eastAsia="zh-CN"/>
        </w:rPr>
        <w:t>满</w:t>
      </w:r>
    </w:p>
    <w:p>
      <w:pPr>
        <w:pageBreakBefore w:val="0"/>
        <w:widowControl w:val="0"/>
        <w:tabs>
          <w:tab w:val="center" w:pos="4380"/>
        </w:tabs>
        <w:kinsoku/>
        <w:wordWrap/>
        <w:overflowPunct/>
        <w:topLinePunct w:val="0"/>
        <w:autoSpaceDE/>
        <w:autoSpaceDN/>
        <w:bidi w:val="0"/>
        <w:spacing w:line="360" w:lineRule="auto"/>
        <w:ind w:firstLine="371" w:firstLineChars="177"/>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项目</w:t>
      </w:r>
      <w:r>
        <w:rPr>
          <w:rFonts w:hint="eastAsia" w:ascii="宋体" w:hAnsi="宋体" w:eastAsia="宋体" w:cs="宋体"/>
          <w:sz w:val="21"/>
          <w:szCs w:val="21"/>
        </w:rPr>
        <w:t>经营期限届满前一个月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中标人</w:t>
      </w:r>
      <w:r>
        <w:rPr>
          <w:rFonts w:hint="eastAsia" w:ascii="宋体" w:hAnsi="宋体" w:eastAsia="宋体" w:cs="宋体"/>
          <w:sz w:val="21"/>
          <w:szCs w:val="21"/>
        </w:rPr>
        <w:t>应</w:t>
      </w:r>
      <w:r>
        <w:rPr>
          <w:rFonts w:hint="eastAsia" w:ascii="宋体" w:hAnsi="宋体" w:eastAsia="宋体" w:cs="宋体"/>
          <w:sz w:val="21"/>
          <w:szCs w:val="21"/>
          <w:lang w:val="en-US" w:eastAsia="zh-CN"/>
        </w:rPr>
        <w:t>当</w:t>
      </w:r>
      <w:r>
        <w:rPr>
          <w:rFonts w:hint="eastAsia" w:ascii="宋体" w:hAnsi="宋体" w:eastAsia="宋体" w:cs="宋体"/>
          <w:sz w:val="21"/>
          <w:szCs w:val="21"/>
        </w:rPr>
        <w:t>与</w:t>
      </w:r>
      <w:r>
        <w:rPr>
          <w:rFonts w:hint="eastAsia" w:ascii="宋体" w:hAnsi="宋体" w:eastAsia="宋体" w:cs="宋体"/>
          <w:sz w:val="21"/>
          <w:szCs w:val="21"/>
          <w:lang w:val="en-US" w:eastAsia="zh-CN"/>
        </w:rPr>
        <w:t>招标人</w:t>
      </w:r>
      <w:r>
        <w:rPr>
          <w:rFonts w:hint="eastAsia" w:ascii="宋体" w:hAnsi="宋体" w:eastAsia="宋体" w:cs="宋体"/>
          <w:sz w:val="21"/>
          <w:szCs w:val="21"/>
        </w:rPr>
        <w:t>进行验收交接，原属于</w:t>
      </w:r>
      <w:r>
        <w:rPr>
          <w:rFonts w:hint="eastAsia" w:ascii="宋体" w:hAnsi="宋体" w:eastAsia="宋体" w:cs="宋体"/>
          <w:sz w:val="21"/>
          <w:szCs w:val="21"/>
          <w:lang w:val="en-US" w:eastAsia="zh-CN"/>
        </w:rPr>
        <w:t>招标人</w:t>
      </w:r>
      <w:r>
        <w:rPr>
          <w:rFonts w:hint="eastAsia" w:ascii="宋体" w:hAnsi="宋体" w:eastAsia="宋体" w:cs="宋体"/>
          <w:sz w:val="21"/>
          <w:szCs w:val="21"/>
        </w:rPr>
        <w:t>的资产，应如数归还</w:t>
      </w:r>
      <w:r>
        <w:rPr>
          <w:rFonts w:hint="eastAsia" w:ascii="宋体" w:hAnsi="宋体" w:eastAsia="宋体" w:cs="宋体"/>
          <w:sz w:val="21"/>
          <w:szCs w:val="21"/>
          <w:lang w:eastAsia="zh-CN"/>
        </w:rPr>
        <w:t>。</w:t>
      </w:r>
      <w:r>
        <w:rPr>
          <w:rFonts w:hint="eastAsia" w:ascii="宋体" w:hAnsi="宋体" w:eastAsia="宋体" w:cs="宋体"/>
          <w:sz w:val="21"/>
          <w:szCs w:val="21"/>
        </w:rPr>
        <w:t>如资产存在故障、破损、污损、丢失等情况，中标人应承担恢复原状、排除故障或赔偿损失等责任。</w:t>
      </w:r>
    </w:p>
    <w:p>
      <w:pPr>
        <w:pageBreakBefore w:val="0"/>
        <w:widowControl w:val="0"/>
        <w:tabs>
          <w:tab w:val="center" w:pos="4380"/>
        </w:tabs>
        <w:kinsoku/>
        <w:wordWrap/>
        <w:overflowPunct/>
        <w:topLinePunct w:val="0"/>
        <w:autoSpaceDE/>
        <w:autoSpaceDN/>
        <w:bidi w:val="0"/>
        <w:spacing w:line="360" w:lineRule="auto"/>
        <w:ind w:firstLine="371" w:firstLineChars="177"/>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项目</w:t>
      </w:r>
      <w:r>
        <w:rPr>
          <w:rFonts w:hint="eastAsia" w:ascii="宋体" w:hAnsi="宋体" w:eastAsia="宋体" w:cs="宋体"/>
          <w:sz w:val="21"/>
          <w:szCs w:val="21"/>
        </w:rPr>
        <w:t>经营期限届满之日，</w:t>
      </w:r>
      <w:r>
        <w:rPr>
          <w:rFonts w:hint="eastAsia" w:ascii="宋体" w:hAnsi="宋体" w:eastAsia="宋体" w:cs="宋体"/>
          <w:sz w:val="21"/>
          <w:szCs w:val="21"/>
          <w:lang w:val="en-US" w:eastAsia="zh-CN"/>
        </w:rPr>
        <w:t>中标人</w:t>
      </w:r>
      <w:r>
        <w:rPr>
          <w:rFonts w:hint="eastAsia" w:ascii="宋体" w:hAnsi="宋体" w:eastAsia="宋体" w:cs="宋体"/>
          <w:sz w:val="21"/>
          <w:szCs w:val="21"/>
        </w:rPr>
        <w:t>应</w:t>
      </w:r>
      <w:r>
        <w:rPr>
          <w:rFonts w:hint="eastAsia" w:ascii="宋体" w:hAnsi="宋体" w:eastAsia="宋体" w:cs="宋体"/>
          <w:sz w:val="21"/>
          <w:szCs w:val="21"/>
          <w:lang w:val="en-US" w:eastAsia="zh-CN"/>
        </w:rPr>
        <w:t>当根据招标人要求完成</w:t>
      </w:r>
      <w:r>
        <w:rPr>
          <w:rFonts w:hint="eastAsia" w:ascii="宋体" w:hAnsi="宋体" w:eastAsia="宋体" w:cs="宋体"/>
          <w:sz w:val="21"/>
          <w:szCs w:val="21"/>
        </w:rPr>
        <w:t>撤场</w:t>
      </w:r>
      <w:r>
        <w:rPr>
          <w:rFonts w:hint="eastAsia" w:ascii="宋体" w:hAnsi="宋体" w:eastAsia="宋体" w:cs="宋体"/>
          <w:sz w:val="21"/>
          <w:szCs w:val="21"/>
          <w:lang w:val="en-US" w:eastAsia="zh-CN"/>
        </w:rPr>
        <w:t>资产交接等相关手续，并承担撤场所产生的一切费用。</w:t>
      </w:r>
    </w:p>
    <w:p>
      <w:pPr>
        <w:keepNext w:val="0"/>
        <w:keepLines w:val="0"/>
        <w:pageBreakBefore w:val="0"/>
        <w:widowControl w:val="0"/>
        <w:numPr>
          <w:ilvl w:val="0"/>
          <w:numId w:val="1"/>
        </w:numPr>
        <w:tabs>
          <w:tab w:val="center" w:pos="438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项目</w:t>
      </w:r>
      <w:r>
        <w:rPr>
          <w:rFonts w:hint="eastAsia" w:ascii="宋体" w:hAnsi="宋体" w:eastAsia="宋体" w:cs="宋体"/>
          <w:b/>
          <w:bCs/>
          <w:sz w:val="21"/>
          <w:szCs w:val="21"/>
        </w:rPr>
        <w:t>供餐要求</w:t>
      </w:r>
    </w:p>
    <w:p>
      <w:pPr>
        <w:keepNext w:val="0"/>
        <w:keepLines w:val="0"/>
        <w:pageBreakBefore w:val="0"/>
        <w:widowControl w:val="0"/>
        <w:numPr>
          <w:ilvl w:val="0"/>
          <w:numId w:val="0"/>
        </w:numPr>
        <w:tabs>
          <w:tab w:val="center" w:pos="438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b w:val="0"/>
          <w:bCs w:val="0"/>
          <w:sz w:val="21"/>
          <w:szCs w:val="21"/>
          <w:lang w:val="en-US" w:eastAsia="zh-CN"/>
        </w:rPr>
        <w:t>1.提供365天不间断膳食服务，满足职工就餐、工作餐、手术室加班餐、体检人员供餐等需求。下周菜单于本周四前公布于双方认可的平台或地方，每周菜品重复率不超过30%，菜品食材坚决不用预制品。</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2.项目</w:t>
      </w:r>
      <w:r>
        <w:rPr>
          <w:rFonts w:hint="eastAsia" w:ascii="宋体" w:hAnsi="宋体" w:eastAsia="宋体" w:cs="宋体"/>
          <w:b w:val="0"/>
          <w:bCs w:val="0"/>
          <w:sz w:val="21"/>
          <w:szCs w:val="21"/>
        </w:rPr>
        <w:t>供餐</w:t>
      </w:r>
      <w:r>
        <w:rPr>
          <w:rFonts w:hint="eastAsia" w:ascii="宋体" w:hAnsi="宋体" w:eastAsia="宋体" w:cs="宋体"/>
          <w:b w:val="0"/>
          <w:bCs w:val="0"/>
          <w:sz w:val="21"/>
          <w:szCs w:val="21"/>
          <w:lang w:val="en-US" w:eastAsia="zh-CN"/>
        </w:rPr>
        <w:t>需</w:t>
      </w:r>
      <w:r>
        <w:rPr>
          <w:rFonts w:hint="eastAsia" w:ascii="宋体" w:hAnsi="宋体" w:eastAsia="宋体" w:cs="宋体"/>
          <w:sz w:val="21"/>
          <w:szCs w:val="21"/>
          <w:lang w:eastAsia="zh-CN"/>
        </w:rPr>
        <w:t>在</w:t>
      </w:r>
      <w:r>
        <w:rPr>
          <w:rFonts w:hint="eastAsia" w:ascii="宋体" w:hAnsi="宋体" w:eastAsia="宋体" w:cs="宋体"/>
          <w:sz w:val="21"/>
          <w:szCs w:val="21"/>
          <w:lang w:val="en-US" w:eastAsia="zh-CN"/>
        </w:rPr>
        <w:t>营养师的指导下，按营养师制定的食谱及病人膳食原则,负责病人各类饮食的制作。</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早餐</w:t>
      </w:r>
      <w:r>
        <w:rPr>
          <w:rFonts w:hint="eastAsia" w:ascii="宋体" w:hAnsi="宋体" w:eastAsia="宋体" w:cs="宋体"/>
          <w:sz w:val="21"/>
          <w:szCs w:val="21"/>
          <w:lang w:val="en-US" w:eastAsia="zh-CN"/>
        </w:rPr>
        <w:t>需具有多种类价位、</w:t>
      </w:r>
      <w:r>
        <w:rPr>
          <w:rFonts w:hint="eastAsia" w:ascii="宋体" w:hAnsi="宋体" w:eastAsia="宋体" w:cs="宋体"/>
          <w:sz w:val="21"/>
          <w:szCs w:val="21"/>
        </w:rPr>
        <w:t>多样</w:t>
      </w:r>
      <w:r>
        <w:rPr>
          <w:rFonts w:hint="eastAsia" w:ascii="宋体" w:hAnsi="宋体" w:eastAsia="宋体" w:cs="宋体"/>
          <w:sz w:val="21"/>
          <w:szCs w:val="21"/>
          <w:lang w:val="en-US" w:eastAsia="zh-CN"/>
        </w:rPr>
        <w:t>性</w:t>
      </w:r>
      <w:r>
        <w:rPr>
          <w:rFonts w:hint="eastAsia" w:ascii="宋体" w:hAnsi="宋体" w:eastAsia="宋体" w:cs="宋体"/>
          <w:sz w:val="21"/>
          <w:szCs w:val="21"/>
        </w:rPr>
        <w:t>品种。</w:t>
      </w:r>
      <w:r>
        <w:rPr>
          <w:rFonts w:hint="eastAsia" w:ascii="宋体" w:hAnsi="宋体" w:eastAsia="宋体" w:cs="宋体"/>
          <w:sz w:val="21"/>
          <w:szCs w:val="21"/>
          <w:lang w:val="en-US" w:eastAsia="zh-CN"/>
        </w:rPr>
        <w:t>提供不少于12个品种供应（含面食），自选菜式价格段1-5元/份之间，面食不高于8元/份</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中、晚餐</w:t>
      </w:r>
      <w:r>
        <w:rPr>
          <w:rFonts w:hint="eastAsia" w:ascii="宋体" w:hAnsi="宋体" w:eastAsia="宋体" w:cs="宋体"/>
          <w:sz w:val="21"/>
          <w:szCs w:val="21"/>
          <w:lang w:eastAsia="zh-CN"/>
        </w:rPr>
        <w:t>提供窗口</w:t>
      </w:r>
      <w:r>
        <w:rPr>
          <w:rFonts w:hint="eastAsia" w:ascii="宋体" w:hAnsi="宋体" w:eastAsia="宋体" w:cs="宋体"/>
          <w:sz w:val="21"/>
          <w:szCs w:val="21"/>
          <w:lang w:val="en-US" w:eastAsia="zh-CN"/>
        </w:rPr>
        <w:t>自选餐和量贩式自助称重</w:t>
      </w:r>
      <w:r>
        <w:rPr>
          <w:rFonts w:hint="eastAsia" w:ascii="宋体" w:hAnsi="宋体" w:eastAsia="宋体" w:cs="宋体"/>
          <w:sz w:val="21"/>
          <w:szCs w:val="21"/>
          <w:lang w:eastAsia="zh-CN"/>
        </w:rPr>
        <w:t>两种供餐模式，</w:t>
      </w:r>
      <w:r>
        <w:rPr>
          <w:rFonts w:hint="eastAsia" w:ascii="宋体" w:hAnsi="宋体" w:eastAsia="宋体" w:cs="宋体"/>
          <w:sz w:val="21"/>
          <w:szCs w:val="21"/>
        </w:rPr>
        <w:t>每餐至少提供三种主食（如：饭、</w:t>
      </w:r>
      <w:r>
        <w:rPr>
          <w:rFonts w:hint="eastAsia" w:ascii="宋体" w:hAnsi="宋体" w:eastAsia="宋体" w:cs="宋体"/>
          <w:sz w:val="21"/>
          <w:szCs w:val="21"/>
          <w:lang w:val="en-US" w:eastAsia="zh-CN"/>
        </w:rPr>
        <w:t>粥、</w:t>
      </w:r>
      <w:r>
        <w:rPr>
          <w:rFonts w:hint="eastAsia" w:ascii="宋体" w:hAnsi="宋体" w:eastAsia="宋体" w:cs="宋体"/>
          <w:sz w:val="21"/>
          <w:szCs w:val="21"/>
        </w:rPr>
        <w:t>面、粉类）</w:t>
      </w:r>
      <w:r>
        <w:rPr>
          <w:rFonts w:hint="eastAsia" w:ascii="宋体" w:hAnsi="宋体" w:eastAsia="宋体" w:cs="宋体"/>
          <w:sz w:val="21"/>
          <w:szCs w:val="21"/>
          <w:lang w:val="en-US" w:eastAsia="zh-CN"/>
        </w:rPr>
        <w:t>,每餐供应不少于15个品种供应(不含面食)，素菜价格不高于3元/100克，荤菜不高于8元/100克，面食不高于15元/份。</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中、晚餐供应</w:t>
      </w:r>
      <w:r>
        <w:rPr>
          <w:rFonts w:hint="eastAsia" w:ascii="宋体" w:hAnsi="宋体" w:eastAsia="宋体" w:cs="宋体"/>
          <w:sz w:val="21"/>
          <w:szCs w:val="21"/>
          <w:lang w:val="en-US" w:eastAsia="zh-CN"/>
        </w:rPr>
        <w:t>营养汤及药膳汤</w:t>
      </w:r>
      <w:r>
        <w:rPr>
          <w:rFonts w:hint="eastAsia" w:ascii="宋体" w:hAnsi="宋体" w:eastAsia="宋体" w:cs="宋体"/>
          <w:sz w:val="21"/>
          <w:szCs w:val="21"/>
        </w:rPr>
        <w:t>不少于</w:t>
      </w:r>
      <w:r>
        <w:rPr>
          <w:rFonts w:hint="eastAsia" w:ascii="宋体" w:hAnsi="宋体" w:eastAsia="宋体" w:cs="宋体"/>
          <w:sz w:val="21"/>
          <w:szCs w:val="21"/>
          <w:lang w:val="en-US" w:eastAsia="zh-CN"/>
        </w:rPr>
        <w:t>3</w:t>
      </w:r>
      <w:r>
        <w:rPr>
          <w:rFonts w:hint="eastAsia" w:ascii="宋体" w:hAnsi="宋体" w:eastAsia="宋体" w:cs="宋体"/>
          <w:sz w:val="21"/>
          <w:szCs w:val="21"/>
        </w:rPr>
        <w:t>个品种</w:t>
      </w:r>
      <w:r>
        <w:rPr>
          <w:rFonts w:hint="eastAsia" w:ascii="宋体" w:hAnsi="宋体" w:eastAsia="宋体" w:cs="宋体"/>
          <w:sz w:val="21"/>
          <w:szCs w:val="21"/>
          <w:lang w:eastAsia="zh-CN"/>
        </w:rPr>
        <w:t>，例汤免费提供。</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中标人在经营期间，必须满足患者、患者家属及医护人员等的订餐、配餐、送餐等服务，合理管理就餐及送餐秩序。中标人必须拥有适合的在线点餐服务系统，功能须包含但不限于在线点餐、在线菜单预览、点评互动、大数据分析等，满足患者和医护人员等使用，费用由中标人自理。</w:t>
      </w:r>
    </w:p>
    <w:p>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三</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项目</w:t>
      </w:r>
      <w:r>
        <w:rPr>
          <w:rFonts w:hint="eastAsia" w:ascii="宋体" w:hAnsi="宋体" w:eastAsia="宋体" w:cs="宋体"/>
          <w:b/>
          <w:bCs/>
          <w:sz w:val="21"/>
          <w:szCs w:val="21"/>
        </w:rPr>
        <w:t>食材要求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粮油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质量要求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米、油、面粉、豆类货物由具有粮食生产资质的企业生产并标明企业名称和产品信息。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米、油、面粉、豆类货物必须符合卫生，不得有腐烂、变质、油脂酸败、霉变、生虫、污秽不洁、混有异物或者其他感官性状异常，并可能对人体健康有害的物质。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米、油：要提供国家机关发出的产品检验合格证书。包装食品：包装箱完整，同时包装箱要印有注册商标、生产厂家名称、厂址、出厂日期、产品合格证、保质期限、产品成分、厂家电话号码。散装豆类：提供生产厂家营业执照、卫生许可证、国家机关发出的产品检验合格证书。中标人所提供产品质量必须符合行业标准要求，不得有掺假、变质、变味、过期等现象出现，严禁伪劣、假冒、无证不合格物品进入仓库。</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eastAsia="zh-CN"/>
        </w:rPr>
        <w:t>中标人在供应过程中，如果发生出现质量问题或造成食物中毒，如变质等情况，经查实后确属供方责任，中标人应承担全部责任，主要包括食物中毒人员医疗费、误工费、事故处理费等，直至追究刑事责任。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308" w:firstLineChars="147"/>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color w:val="auto"/>
          <w:sz w:val="21"/>
          <w:szCs w:val="21"/>
          <w:highlight w:val="none"/>
          <w:lang w:eastAsia="zh-CN"/>
        </w:rPr>
        <w:t>执行标准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08" w:firstLineChars="242"/>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color w:val="auto"/>
          <w:sz w:val="21"/>
          <w:szCs w:val="21"/>
          <w:highlight w:val="none"/>
          <w:lang w:eastAsia="zh-CN"/>
        </w:rPr>
        <w:t>大米品种要求为标准一等晚三级米。</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08" w:firstLineChars="242"/>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color w:val="auto"/>
          <w:sz w:val="21"/>
          <w:szCs w:val="21"/>
          <w:highlight w:val="none"/>
          <w:lang w:eastAsia="zh-CN"/>
        </w:rPr>
        <w:t>米类执行标准：GB1354-86、GB2715-2005、标准一等米，不含添加剂。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08" w:firstLineChars="242"/>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color w:val="auto"/>
          <w:sz w:val="21"/>
          <w:szCs w:val="21"/>
          <w:highlight w:val="none"/>
          <w:lang w:eastAsia="zh-CN"/>
        </w:rPr>
        <w:t>大米的质量标准：除符合标准一等米外，</w:t>
      </w:r>
      <w:r>
        <w:rPr>
          <w:rFonts w:hint="eastAsia" w:ascii="宋体" w:hAnsi="宋体" w:eastAsia="宋体" w:cs="宋体"/>
          <w:color w:val="auto"/>
          <w:sz w:val="21"/>
          <w:szCs w:val="21"/>
          <w:highlight w:val="none"/>
          <w:lang w:val="en-US" w:eastAsia="zh-CN"/>
        </w:rPr>
        <w:t>具体要求如下</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lang w:eastAsia="zh-CN"/>
        </w:rPr>
        <w:t>）碎米总量≤17%（国家标准：≤35%）。</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lang w:eastAsia="zh-CN"/>
        </w:rPr>
        <w:t>）小碎米总量≤2%（国家标准：≤2.5%）。</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）不完善粒≤3.5%（国家标准：≤4.0%）。</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D</w:t>
      </w:r>
      <w:r>
        <w:rPr>
          <w:rFonts w:hint="eastAsia" w:ascii="宋体" w:hAnsi="宋体" w:eastAsia="宋体" w:cs="宋体"/>
          <w:color w:val="auto"/>
          <w:sz w:val="21"/>
          <w:szCs w:val="21"/>
          <w:highlight w:val="none"/>
          <w:lang w:eastAsia="zh-CN"/>
        </w:rPr>
        <w:t>）黄米粒按国家标准执行。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）油类执行标准：色拉油：GB</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1535-2003一级大豆色拉油。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lang w:eastAsia="zh-CN"/>
        </w:rPr>
        <w:t>）花生油：</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"http://www.instrument.com.cn/bbs/download.asp?ID=46421" \t "_blank"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GB 1534-2003</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lang w:eastAsia="zh-CN"/>
        </w:rPr>
        <w:t>）大豆油：</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"http://www.instrument.com.cn/bbs/download.asp?ID=46422" \t "_blank"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GB 1535-2003</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）葵花籽油：GB</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10464-2003。</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D</w:t>
      </w:r>
      <w:r>
        <w:rPr>
          <w:rFonts w:hint="eastAsia" w:ascii="宋体" w:hAnsi="宋体" w:eastAsia="宋体" w:cs="宋体"/>
          <w:color w:val="auto"/>
          <w:sz w:val="21"/>
          <w:szCs w:val="21"/>
          <w:highlight w:val="none"/>
          <w:lang w:eastAsia="zh-CN"/>
        </w:rPr>
        <w:t>）棉籽油：</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"http://www.instrument.com.cn/bbs/download.asp?ID=46423" \t "_blank"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GB 1537-2003</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E</w:t>
      </w:r>
      <w:r>
        <w:rPr>
          <w:rFonts w:hint="eastAsia" w:ascii="宋体" w:hAnsi="宋体" w:eastAsia="宋体" w:cs="宋体"/>
          <w:color w:val="auto"/>
          <w:sz w:val="21"/>
          <w:szCs w:val="21"/>
          <w:highlight w:val="none"/>
          <w:lang w:eastAsia="zh-CN"/>
        </w:rPr>
        <w:t>）油茶籽油：</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"http://www.instrument.com.cn/bbs/download.asp?ID=46424" \t "_blank"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GB 11765-2003</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F</w:t>
      </w:r>
      <w:r>
        <w:rPr>
          <w:rFonts w:hint="eastAsia" w:ascii="宋体" w:hAnsi="宋体" w:eastAsia="宋体" w:cs="宋体"/>
          <w:color w:val="auto"/>
          <w:sz w:val="21"/>
          <w:szCs w:val="21"/>
          <w:highlight w:val="none"/>
          <w:lang w:eastAsia="zh-CN"/>
        </w:rPr>
        <w:t>）玉米油：</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"http://www.instrument.com.cn/bbs/download.asp?ID=46425" \t "_blank"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GB 19111-2003</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G</w:t>
      </w:r>
      <w:r>
        <w:rPr>
          <w:rFonts w:hint="eastAsia" w:ascii="宋体" w:hAnsi="宋体" w:eastAsia="宋体" w:cs="宋体"/>
          <w:color w:val="auto"/>
          <w:sz w:val="21"/>
          <w:szCs w:val="21"/>
          <w:highlight w:val="none"/>
          <w:lang w:eastAsia="zh-CN"/>
        </w:rPr>
        <w:t>）米糠油：GB</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19112-2003。</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）油类质量要求：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每个食用油品种必须色泽好，透明度高，无浑浊，无沉淀和悬浮物，粘度小，无分层现象，气味正常，无酸臭异味。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严格执行国家相关质量标准及卫生安全标准，色泽、气味、霉变、真菌毒素、重金属污染物、农药等严格控制在国家标准范围内（原粮及成品粮色泽、气味必须正常。霉变粒不得超过2％。真菌毒素：黄曲霉毒素B1（5μg/kg～20μg/kg）、脱氧雪腐镰刀菌烯醇（≤1000μg/kg）、玉米赤霉烯酮（≤60μg/kg）、赭曲霉毒素A（5μg/kg）。重金属污染物：铅（≤0.2mg/kg）、镉（0.1 mg/kg～0.2 mg/kg）、汞（0.02 mg/kg）、无机砷（0.1 mg/kg～0.2 mg/kg）。农药：对磷化物、马拉硫磷等140余种农药规定了最大残留限量）。并根据用户需求的食用油等级保质保量完成供货。要求提供的食用油生产厂家信誉良好，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牟取暴利，一经查处，中标人将承担全部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highlight w:val="none"/>
          <w:lang w:eastAsia="zh-CN"/>
        </w:rPr>
        <w:t>面粉、</w:t>
      </w:r>
      <w:r>
        <w:rPr>
          <w:rFonts w:hint="eastAsia" w:ascii="宋体" w:hAnsi="宋体" w:eastAsia="宋体" w:cs="宋体"/>
          <w:sz w:val="21"/>
          <w:szCs w:val="21"/>
          <w:highlight w:val="none"/>
          <w:lang w:val="en-US" w:eastAsia="zh-CN"/>
        </w:rPr>
        <w:t>豆</w:t>
      </w:r>
      <w:r>
        <w:rPr>
          <w:rFonts w:hint="eastAsia" w:ascii="宋体" w:hAnsi="宋体" w:eastAsia="宋体" w:cs="宋体"/>
          <w:sz w:val="21"/>
          <w:szCs w:val="21"/>
          <w:highlight w:val="none"/>
          <w:lang w:eastAsia="zh-CN"/>
        </w:rPr>
        <w:t>类执行标准：GB2711-2003非发酵性豆制品及面筋卫生标准。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2.调味料</w:t>
      </w:r>
      <w:r>
        <w:rPr>
          <w:rFonts w:hint="eastAsia" w:ascii="宋体" w:hAnsi="宋体" w:eastAsia="宋体" w:cs="宋体"/>
          <w:sz w:val="21"/>
          <w:szCs w:val="21"/>
          <w:highlight w:val="none"/>
          <w:lang w:eastAsia="zh-CN"/>
        </w:rPr>
        <w:t>、佐料、瓜果蔬菜</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质量要求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1）调味料</w:t>
      </w:r>
      <w:r>
        <w:rPr>
          <w:rFonts w:hint="eastAsia" w:ascii="宋体" w:hAnsi="宋体" w:eastAsia="宋体" w:cs="宋体"/>
          <w:sz w:val="21"/>
          <w:szCs w:val="21"/>
          <w:highlight w:val="none"/>
          <w:lang w:eastAsia="zh-CN"/>
        </w:rPr>
        <w:t>、佐料类</w:t>
      </w:r>
      <w:r>
        <w:rPr>
          <w:rFonts w:hint="eastAsia" w:ascii="宋体" w:hAnsi="宋体" w:eastAsia="宋体" w:cs="宋体"/>
          <w:sz w:val="21"/>
          <w:szCs w:val="21"/>
          <w:highlight w:val="none"/>
          <w:lang w:val="en-US" w:eastAsia="zh-CN"/>
        </w:rPr>
        <w:t>应当</w:t>
      </w:r>
      <w:r>
        <w:rPr>
          <w:rFonts w:hint="eastAsia" w:ascii="宋体" w:hAnsi="宋体" w:eastAsia="宋体" w:cs="宋体"/>
          <w:sz w:val="21"/>
          <w:szCs w:val="21"/>
          <w:highlight w:val="none"/>
          <w:lang w:eastAsia="zh-CN"/>
        </w:rPr>
        <w:t>为正规厂家的产品，瓜、果、蔬菜必须是优质货品，不得含有残留农药或污染物，中标人必须保证所供应的蔬菜符合卫生质量标准，同时承担因所供蔬菜问题引起的一切事故后果。卫生质量指标，应符合我国无公害蔬菜上的卫生指标规定。</w:t>
      </w:r>
    </w:p>
    <w:tbl>
      <w:tblPr>
        <w:tblStyle w:val="8"/>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58"/>
        <w:gridCol w:w="5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 w:hRule="atLeast"/>
          <w:jc w:val="center"/>
        </w:trPr>
        <w:tc>
          <w:tcPr>
            <w:tcW w:w="3176"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b/>
                <w:bCs/>
                <w:sz w:val="21"/>
                <w:szCs w:val="21"/>
              </w:rPr>
            </w:pPr>
            <w:r>
              <w:rPr>
                <w:rFonts w:hint="eastAsia" w:ascii="宋体" w:hAnsi="宋体" w:eastAsia="宋体" w:cs="宋体"/>
                <w:b/>
                <w:bCs/>
                <w:sz w:val="21"/>
                <w:szCs w:val="21"/>
              </w:rPr>
              <w:t>项目</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b/>
                <w:bCs/>
                <w:sz w:val="21"/>
                <w:szCs w:val="21"/>
              </w:rPr>
            </w:pPr>
            <w:r>
              <w:rPr>
                <w:rFonts w:hint="eastAsia" w:ascii="宋体" w:hAnsi="宋体" w:eastAsia="宋体" w:cs="宋体"/>
                <w:b/>
                <w:bCs/>
                <w:sz w:val="21"/>
                <w:szCs w:val="21"/>
              </w:rPr>
              <w:t>指标（mg/kg）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甲胺磷</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甲拌磷</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氧化乐果</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甲基对硫磷</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呋喃丹</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百菌清</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多菌灵</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汞（以Hg计）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铅（以Pb计）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砷（以As计）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氟（以F计）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rPr>
            </w:pPr>
            <w:r>
              <w:rPr>
                <w:rFonts w:hint="eastAsia" w:ascii="宋体" w:hAnsi="宋体" w:eastAsia="宋体" w:cs="宋体"/>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硝酸盐（以NaNO</w:t>
            </w:r>
            <w:r>
              <w:rPr>
                <w:rFonts w:hint="eastAsia" w:ascii="宋体" w:hAnsi="宋体" w:eastAsia="宋体" w:cs="宋体"/>
                <w:sz w:val="21"/>
                <w:szCs w:val="21"/>
                <w:vertAlign w:val="subscript"/>
                <w:lang w:eastAsia="zh-CN"/>
              </w:rPr>
              <w:t>3</w:t>
            </w:r>
            <w:r>
              <w:rPr>
                <w:rFonts w:hint="eastAsia" w:ascii="宋体" w:hAnsi="宋体" w:eastAsia="宋体" w:cs="宋体"/>
                <w:sz w:val="21"/>
                <w:szCs w:val="21"/>
                <w:lang w:eastAsia="zh-CN"/>
              </w:rPr>
              <w:t>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瓜果类≤600；叶菜根茎类≤1200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3176" w:type="dxa"/>
            <w:noWrap w:val="0"/>
            <w:vAlign w:val="top"/>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亚硝酸盐（以NaNO</w:t>
            </w:r>
            <w:r>
              <w:rPr>
                <w:rFonts w:hint="eastAsia" w:ascii="宋体" w:hAnsi="宋体" w:eastAsia="宋体" w:cs="宋体"/>
                <w:sz w:val="21"/>
                <w:szCs w:val="21"/>
                <w:vertAlign w:val="subscript"/>
                <w:lang w:eastAsia="zh-CN"/>
              </w:rPr>
              <w:t>2</w:t>
            </w:r>
            <w:r>
              <w:rPr>
                <w:rFonts w:hint="eastAsia" w:ascii="宋体" w:hAnsi="宋体" w:eastAsia="宋体" w:cs="宋体"/>
                <w:sz w:val="21"/>
                <w:szCs w:val="21"/>
                <w:lang w:eastAsia="zh-CN"/>
              </w:rPr>
              <w:t>计）</w:t>
            </w:r>
          </w:p>
        </w:tc>
        <w:tc>
          <w:tcPr>
            <w:tcW w:w="4212" w:type="dxa"/>
            <w:noWrap w:val="0"/>
            <w:vAlign w:val="center"/>
          </w:tcPr>
          <w:p>
            <w:pPr>
              <w:pStyle w:val="4"/>
              <w:keepNext w:val="0"/>
              <w:keepLines w:val="0"/>
              <w:suppressLineNumbers w:val="0"/>
              <w:spacing w:before="0" w:beforeAutospacing="0" w:after="0" w:afterAutospacing="0" w:line="360" w:lineRule="auto"/>
              <w:ind w:left="44" w:leftChars="21"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瓜果蔬菜类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1）基本要求</w:t>
      </w:r>
      <w:r>
        <w:rPr>
          <w:rFonts w:hint="eastAsia" w:ascii="宋体" w:hAnsi="宋体" w:eastAsia="宋体" w:cs="宋体"/>
          <w:sz w:val="21"/>
          <w:szCs w:val="21"/>
          <w:highlight w:val="none"/>
          <w:lang w:eastAsia="zh-CN"/>
        </w:rPr>
        <w:t>感观</w:t>
      </w:r>
      <w:r>
        <w:rPr>
          <w:rFonts w:hint="eastAsia" w:ascii="宋体" w:hAnsi="宋体" w:eastAsia="宋体" w:cs="宋体"/>
          <w:sz w:val="21"/>
          <w:szCs w:val="21"/>
          <w:highlight w:val="none"/>
          <w:lang w:val="en-US" w:eastAsia="zh-CN"/>
        </w:rPr>
        <w:t>性状</w:t>
      </w:r>
      <w:r>
        <w:rPr>
          <w:rFonts w:hint="eastAsia" w:ascii="宋体" w:hAnsi="宋体" w:eastAsia="宋体" w:cs="宋体"/>
          <w:sz w:val="21"/>
          <w:szCs w:val="21"/>
          <w:highlight w:val="none"/>
          <w:lang w:eastAsia="zh-CN"/>
        </w:rPr>
        <w:t>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（A）</w:t>
      </w:r>
      <w:r>
        <w:rPr>
          <w:rFonts w:hint="eastAsia" w:ascii="宋体" w:hAnsi="宋体" w:eastAsia="宋体" w:cs="宋体"/>
          <w:sz w:val="21"/>
          <w:szCs w:val="21"/>
          <w:highlight w:val="none"/>
          <w:lang w:eastAsia="zh-CN"/>
        </w:rPr>
        <w:t>从蔬菜色泽看，各种蔬菜都应具有本品种固有的颜色，大多数有发亮的光泽，以此显示蔬菜的成熟度及鲜嫩程度</w:t>
      </w:r>
      <w:r>
        <w:rPr>
          <w:rFonts w:hint="eastAsia" w:ascii="宋体" w:hAnsi="宋体" w:eastAsia="宋体" w:cs="宋体"/>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lang w:eastAsia="zh-CN"/>
        </w:rPr>
        <w:t>从蔬菜气味看，多数蔬菜具有清馨、甘辛香、甜酸香等气味，可凭嗅觉识别不同品种的质量，不允许有腐烂变质的亚硝酸盐味和其他异常气味</w:t>
      </w:r>
      <w:r>
        <w:rPr>
          <w:rFonts w:hint="eastAsia" w:ascii="宋体" w:hAnsi="宋体" w:eastAsia="宋体" w:cs="宋体"/>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（C）</w:t>
      </w:r>
      <w:r>
        <w:rPr>
          <w:rFonts w:hint="eastAsia" w:ascii="宋体" w:hAnsi="宋体" w:eastAsia="宋体" w:cs="宋体"/>
          <w:sz w:val="21"/>
          <w:szCs w:val="21"/>
          <w:highlight w:val="none"/>
          <w:lang w:eastAsia="zh-CN"/>
        </w:rPr>
        <w:t>从蔬菜滋味看，因品种不同而各异，多数蔬菜滋味甘淡、甜酸、清爽鲜美，少数具有辛酸、苦涩等特殊风味以刺激食欲，如失去本品种原有的滋</w:t>
      </w:r>
      <w:r>
        <w:rPr>
          <w:rFonts w:hint="eastAsia" w:ascii="宋体" w:hAnsi="宋体" w:eastAsia="宋体" w:cs="宋体"/>
          <w:sz w:val="21"/>
          <w:szCs w:val="21"/>
          <w:highlight w:val="none"/>
          <w:lang w:val="en-US" w:eastAsia="zh-CN"/>
        </w:rPr>
        <w:t>味</w:t>
      </w:r>
      <w:r>
        <w:rPr>
          <w:rFonts w:hint="eastAsia" w:ascii="宋体" w:hAnsi="宋体" w:eastAsia="宋体" w:cs="宋体"/>
          <w:sz w:val="21"/>
          <w:szCs w:val="21"/>
          <w:highlight w:val="none"/>
          <w:lang w:eastAsia="zh-CN"/>
        </w:rPr>
        <w:t>即为异常。</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（D）</w:t>
      </w:r>
      <w:r>
        <w:rPr>
          <w:rFonts w:hint="eastAsia" w:ascii="宋体" w:hAnsi="宋体" w:eastAsia="宋体" w:cs="宋体"/>
          <w:sz w:val="21"/>
          <w:szCs w:val="21"/>
          <w:highlight w:val="none"/>
          <w:lang w:eastAsia="zh-CN"/>
        </w:rPr>
        <w:t>从蔬菜形态看，应尽量避免由于客观因素而造成的各种非正常、不新鲜的蔬菜，例如萎蔫、枯塌、损伤、病变、虫害侵蚀等引起的形态异常等。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2）具体要求</w:t>
      </w:r>
      <w:r>
        <w:rPr>
          <w:rFonts w:hint="eastAsia" w:ascii="宋体" w:hAnsi="宋体" w:eastAsia="宋体" w:cs="宋体"/>
          <w:sz w:val="21"/>
          <w:szCs w:val="21"/>
          <w:highlight w:val="none"/>
          <w:lang w:eastAsia="zh-CN"/>
        </w:rPr>
        <w:t>感观</w:t>
      </w:r>
      <w:r>
        <w:rPr>
          <w:rFonts w:hint="eastAsia" w:ascii="宋体" w:hAnsi="宋体" w:eastAsia="宋体" w:cs="宋体"/>
          <w:sz w:val="21"/>
          <w:szCs w:val="21"/>
          <w:highlight w:val="none"/>
          <w:lang w:val="en-US" w:eastAsia="zh-CN"/>
        </w:rPr>
        <w:t>性状</w:t>
      </w:r>
      <w:r>
        <w:rPr>
          <w:rFonts w:hint="eastAsia" w:ascii="宋体" w:hAnsi="宋体" w:eastAsia="宋体" w:cs="宋体"/>
          <w:sz w:val="21"/>
          <w:szCs w:val="21"/>
          <w:highlight w:val="none"/>
          <w:lang w:eastAsia="zh-CN"/>
        </w:rPr>
        <w:t>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（A）</w:t>
      </w:r>
      <w:r>
        <w:rPr>
          <w:rFonts w:hint="eastAsia" w:ascii="宋体" w:hAnsi="宋体" w:eastAsia="宋体" w:cs="宋体"/>
          <w:sz w:val="21"/>
          <w:szCs w:val="21"/>
          <w:highlight w:val="none"/>
          <w:lang w:eastAsia="zh-CN"/>
        </w:rPr>
        <w:t>叶菜类：大白菜、小白菜、菠菜、甘蓝、荠菜、空心菜、茼蒿、苋菜、芹菜等绿叶菜类。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肉质鲜嫩形态好，色泽正常，茎基部削平，无枯黄叶、病叶、泥土、明显机械伤和病虫害伤，无烧心焦边、腐烂等现象，无抽薹（菜心除外），无畸形、异味，结球叶菜要结球适度，花椰菜应新鲜洁白，不带叶麸，无畸形花。</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（B）</w:t>
      </w:r>
      <w:r>
        <w:rPr>
          <w:rFonts w:hint="eastAsia" w:ascii="宋体" w:hAnsi="宋体" w:eastAsia="宋体" w:cs="宋体"/>
          <w:sz w:val="21"/>
          <w:szCs w:val="21"/>
          <w:highlight w:val="none"/>
          <w:lang w:eastAsia="zh-CN"/>
        </w:rPr>
        <w:t>茄果类：番茄、茄子、甜椒、辣椒等。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属同一品种规格，果实整洁，成熟度适中，番茄花蒂不明显，无裂果及空洞现象，茄果不能有裂蒂及果皮变硬现象，无腐烂、畸形、异味，无明显机械伤。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（C）</w:t>
      </w:r>
      <w:r>
        <w:rPr>
          <w:rFonts w:hint="eastAsia" w:ascii="宋体" w:hAnsi="宋体" w:eastAsia="宋体" w:cs="宋体"/>
          <w:sz w:val="21"/>
          <w:szCs w:val="21"/>
          <w:highlight w:val="none"/>
          <w:lang w:eastAsia="zh-CN"/>
        </w:rPr>
        <w:t>瓜果类：黄瓜、冬瓜、丝瓜、苦瓜、南瓜、毛节瓜等。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属同一品种规格，形状、色泽一致，瓜条均匀，无疤点，无断裂，无腐烂、畸形、异味、明显机械伤，不带泥土。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（D）</w:t>
      </w:r>
      <w:r>
        <w:rPr>
          <w:rFonts w:hint="eastAsia" w:ascii="宋体" w:hAnsi="宋体" w:eastAsia="宋体" w:cs="宋体"/>
          <w:sz w:val="21"/>
          <w:szCs w:val="21"/>
          <w:highlight w:val="none"/>
          <w:lang w:eastAsia="zh-CN"/>
        </w:rPr>
        <w:t>根菜类：萝卜、胡萝卜等。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属同一品种规格，皮细光滑，大小均匀，肉质脆嫩致密新鲜，无腐烂、畸形、裂痕、糠心、异味，不带泥沙，不带茎叶和须根。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（E）</w:t>
      </w:r>
      <w:r>
        <w:rPr>
          <w:rFonts w:hint="eastAsia" w:ascii="宋体" w:hAnsi="宋体" w:eastAsia="宋体" w:cs="宋体"/>
          <w:sz w:val="21"/>
          <w:szCs w:val="21"/>
          <w:highlight w:val="none"/>
          <w:lang w:eastAsia="zh-CN"/>
        </w:rPr>
        <w:t>薯芋类：马铃薯、芋、姜等。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属同一品种规格，色泽一致，不带泥沙，不带须根、茎叶，不干瘪，无腐烂、畸形、异味、明显机械伤、病虫害斑，马铃薯无发芽，皮不变绿。</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（F）</w:t>
      </w:r>
      <w:r>
        <w:rPr>
          <w:rFonts w:hint="eastAsia" w:ascii="宋体" w:hAnsi="宋体" w:eastAsia="宋体" w:cs="宋体"/>
          <w:sz w:val="21"/>
          <w:szCs w:val="21"/>
          <w:highlight w:val="none"/>
          <w:lang w:eastAsia="zh-CN"/>
        </w:rPr>
        <w:t>葱蒜类：葱、蒜、韭菜、洋葱等。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属同一品种规格，允许葱、青蒜类保留干净须根，葱、蒜、韭菜不带老叶，蒜头、洋葱去根去枯叶，可食部分新鲜幼嫩，无腐烂、畸形、异味。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（G）</w:t>
      </w:r>
      <w:r>
        <w:rPr>
          <w:rFonts w:hint="eastAsia" w:ascii="宋体" w:hAnsi="宋体" w:eastAsia="宋体" w:cs="宋体"/>
          <w:sz w:val="21"/>
          <w:szCs w:val="21"/>
          <w:highlight w:val="none"/>
          <w:lang w:eastAsia="zh-CN"/>
        </w:rPr>
        <w:t>豆类：扁豆、豌豆、毛豆等。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属同一品种规格，形态完整，成熟度适中，无腐烂、畸形、异味，豆荚类新鲜、幼嫩、均匀，豆仁类籽粒饱满，较均匀，无发芽，不带泥土杂质。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（H）</w:t>
      </w:r>
      <w:r>
        <w:rPr>
          <w:rFonts w:hint="eastAsia" w:ascii="宋体" w:hAnsi="宋体" w:eastAsia="宋体" w:cs="宋体"/>
          <w:sz w:val="21"/>
          <w:szCs w:val="21"/>
          <w:highlight w:val="none"/>
          <w:lang w:eastAsia="zh-CN"/>
        </w:rPr>
        <w:t>水生菜类：藕、慈菇、茭白、马蹄、菱等。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属同一品种规格，肉质嫩，成熟度适中，无腐烂、畸形、异味，无明显机械伤，不带泥土和杂质，不干瘪，茭白不黑心。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（I）</w:t>
      </w:r>
      <w:r>
        <w:rPr>
          <w:rFonts w:hint="eastAsia" w:ascii="宋体" w:hAnsi="宋体" w:eastAsia="宋体" w:cs="宋体"/>
          <w:sz w:val="21"/>
          <w:szCs w:val="21"/>
          <w:highlight w:val="none"/>
          <w:lang w:eastAsia="zh-CN"/>
        </w:rPr>
        <w:t>食用菌类：蘑菇、草菇、香菇、木耳等。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属同一品种规格，蘑菇、草菇菌盖圆整略展开，柄粗壮，菌膜紧，菇柄切削平整，不浸泡水（蘑菇允许浸盐水保鲜），新鲜，无杂质，无畸形菇，无腐烂、异味。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（J）</w:t>
      </w:r>
      <w:r>
        <w:rPr>
          <w:rFonts w:hint="eastAsia" w:ascii="宋体" w:hAnsi="宋体" w:eastAsia="宋体" w:cs="宋体"/>
          <w:sz w:val="21"/>
          <w:szCs w:val="21"/>
          <w:highlight w:val="none"/>
          <w:lang w:eastAsia="zh-CN"/>
        </w:rPr>
        <w:t>芽苗类：绿豆芽、黄豆芽、香椿苗等。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芽苗幼嫩，不带豆壳杂质，新鲜，不浸水，无腐烂、异味。</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供应链要求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所有食品的来源必须清晰。蔬菜来源应当于受到地方政府部门监管的自有基地、商品菜基地或蔬菜专业流通市场，严禁收购散户农民的蔬菜供应。</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肉类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所供货物应保持较好的外观和质量等级，符合国家食品部门的有关标准，保证无异味、无霉烂变质，肉类保证来源于正规肉联厂，供货时须提交肉联厂的验收单及当批次有效的动物检疫合格证复印件（原件备查），鲜肉确保每日新鲜，冷冻肉要求肉体冻实而坚硬，无化冻现象，肉质紧密而有弹性，色泽均匀，不粘手，交货时干净、新鲜、无异味。</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冷冻禽类食品解冻后净重量不少于90</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eastAsia="zh-CN"/>
        </w:rPr>
        <w:t>，冷冻肉类食品解冻后净重量不少于92%，冷冻水产类食品解冻后净重量不少于82%，解冻时间为4小时以内（室温20℃），要确保冷冻肉类的新鲜度。所有冷冻食品要求清晰列出产品品牌、规格、类型、包装方式、包装净重、含冰量等相关参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eastAsia="zh-CN"/>
        </w:rPr>
        <w:t>水产类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活鱼类：在水中游动自如，反应敏捷、无伤残、无畸形、鳞片完整无损、无皮下出血现象及红色鱼鳞，眼膜健全、透明清亮，眼珠突出，鳃鲜红等。</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冰鲜鱼类：表面有薄冰，无异物污染，要求鱼眼睛清亮，角膜透明，鳞片上覆有冻结的透明黏液层，气味与色泽正常，有弹性。包装完整、产品标示清楚。</w:t>
      </w:r>
    </w:p>
    <w:p>
      <w:pPr>
        <w:keepNext w:val="0"/>
        <w:keepLines w:val="0"/>
        <w:pageBreakBefore w:val="0"/>
        <w:widowControl w:val="0"/>
        <w:kinsoku/>
        <w:wordWrap/>
        <w:overflowPunct/>
        <w:topLinePunct w:val="0"/>
        <w:autoSpaceDE/>
        <w:autoSpaceDN/>
        <w:bidi w:val="0"/>
        <w:adjustRightInd/>
        <w:snapToGrid/>
        <w:spacing w:line="360" w:lineRule="auto"/>
        <w:ind w:left="0" w:leftChars="0" w:firstLine="210" w:firstLineChars="1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虾类（九节虾、基围虾、明虾（对虾）、青虾等）：新鲜、呈青白色（雌虾）或蛋黄色（雄虾），体表和腹肢不发黑，头部和表面不发红，头、胸甲与虾肉连接在一起，虾壳硬有光泽等。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eastAsia="zh-CN"/>
        </w:rPr>
        <w:t>干货及腊味：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招标人可根据实际情况对需要的干货制品进行品质抽检，对质量未达到国家标准的干货制品招标人有权拒绝接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i w:val="0"/>
          <w:iCs w:val="0"/>
          <w:color w:val="auto"/>
          <w:sz w:val="21"/>
          <w:szCs w:val="21"/>
          <w:highlight w:val="none"/>
          <w:lang w:val="en-US" w:eastAsia="zh-CN" w:bidi="ar-SA"/>
        </w:rPr>
      </w:pPr>
      <w:r>
        <w:rPr>
          <w:rFonts w:hint="eastAsia" w:ascii="宋体" w:hAnsi="宋体" w:eastAsia="宋体" w:cs="宋体"/>
          <w:sz w:val="21"/>
          <w:szCs w:val="21"/>
          <w:highlight w:val="none"/>
          <w:lang w:val="en-US" w:eastAsia="zh-CN"/>
        </w:rPr>
        <w:t>6.</w:t>
      </w:r>
      <w:r>
        <w:rPr>
          <w:rFonts w:hint="eastAsia" w:ascii="宋体" w:hAnsi="宋体" w:eastAsia="宋体" w:cs="宋体"/>
          <w:b w:val="0"/>
          <w:bCs/>
          <w:i w:val="0"/>
          <w:iCs w:val="0"/>
          <w:color w:val="auto"/>
          <w:sz w:val="21"/>
          <w:szCs w:val="21"/>
          <w:highlight w:val="none"/>
          <w:lang w:val="en-US" w:eastAsia="zh-CN" w:bidi="ar-SA"/>
        </w:rPr>
        <w:t>其他品类：按国家规定的相关标准要求执行。</w:t>
      </w:r>
    </w:p>
    <w:p>
      <w:pPr>
        <w:pageBreakBefore w:val="0"/>
        <w:widowControl w:val="0"/>
        <w:kinsoku/>
        <w:wordWrap/>
        <w:overflowPunct/>
        <w:topLinePunct w:val="0"/>
        <w:autoSpaceDE/>
        <w:autoSpaceDN/>
        <w:bidi w:val="0"/>
        <w:spacing w:line="360" w:lineRule="auto"/>
        <w:ind w:firstLine="422" w:firstLineChars="200"/>
        <w:textAlignment w:val="auto"/>
        <w:rPr>
          <w:rFonts w:hint="eastAsia" w:ascii="宋体" w:hAnsi="宋体" w:eastAsia="宋体" w:cs="宋体"/>
          <w:b/>
          <w:bCs/>
          <w:sz w:val="24"/>
        </w:rPr>
      </w:pPr>
      <w:r>
        <w:rPr>
          <w:rFonts w:hint="eastAsia" w:ascii="宋体" w:hAnsi="宋体" w:eastAsia="宋体" w:cs="宋体"/>
          <w:b/>
          <w:bCs/>
          <w:sz w:val="21"/>
          <w:szCs w:val="21"/>
        </w:rPr>
        <w:t>注：本项目项目食材需符合《中华人民共和国食品安全法》《中华人民共和国食品卫生法》《餐饮业食品卫生管理办法》等相关规定，且包括但不限于上述指标、标准等，如相关规定、指标、标准已经更新或者废止则按照最新执行。</w:t>
      </w:r>
    </w:p>
    <w:p>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（四）项目</w:t>
      </w:r>
      <w:r>
        <w:rPr>
          <w:rFonts w:hint="eastAsia" w:ascii="宋体" w:hAnsi="宋体" w:eastAsia="宋体" w:cs="宋体"/>
          <w:b/>
          <w:bCs/>
          <w:sz w:val="21"/>
          <w:szCs w:val="21"/>
        </w:rPr>
        <w:t>经营要求</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中标人不得将经营权转让、转包或分包。中标人应购买餐饮场所责任保险。本着保本微利原则经营，控制食堂成本开支范围，规范伙食价格，</w:t>
      </w:r>
      <w:r>
        <w:rPr>
          <w:rFonts w:hint="eastAsia" w:ascii="宋体" w:hAnsi="宋体" w:eastAsia="宋体" w:cs="宋体"/>
          <w:sz w:val="21"/>
          <w:szCs w:val="21"/>
          <w:lang w:val="en-US" w:eastAsia="zh-CN"/>
        </w:rPr>
        <w:t>不得高于市场零售价</w:t>
      </w:r>
      <w:r>
        <w:rPr>
          <w:rFonts w:hint="eastAsia" w:ascii="宋体" w:hAnsi="宋体" w:eastAsia="宋体" w:cs="宋体"/>
          <w:sz w:val="21"/>
          <w:szCs w:val="21"/>
        </w:rPr>
        <w:t>，并接受各有关部门检查</w:t>
      </w:r>
      <w:r>
        <w:rPr>
          <w:rFonts w:hint="eastAsia" w:ascii="宋体" w:hAnsi="宋体" w:eastAsia="宋体" w:cs="宋体"/>
          <w:sz w:val="21"/>
          <w:szCs w:val="21"/>
          <w:lang w:eastAsia="zh-CN"/>
        </w:rPr>
        <w:t>；</w:t>
      </w:r>
    </w:p>
    <w:p>
      <w:pPr>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严格遵守食品、餐饮、安全生产有关法律法规定及医院有关规定，自觉接受政府主管部</w:t>
      </w:r>
      <w:r>
        <w:rPr>
          <w:rFonts w:hint="eastAsia" w:ascii="宋体" w:hAnsi="宋体" w:eastAsia="宋体" w:cs="宋体"/>
          <w:sz w:val="21"/>
          <w:szCs w:val="21"/>
          <w:lang w:val="en-US" w:eastAsia="zh-CN"/>
        </w:rPr>
        <w:t>门</w:t>
      </w:r>
      <w:r>
        <w:rPr>
          <w:rFonts w:hint="eastAsia" w:ascii="宋体" w:hAnsi="宋体" w:eastAsia="宋体" w:cs="宋体"/>
          <w:sz w:val="21"/>
          <w:szCs w:val="21"/>
        </w:rPr>
        <w:t>、医院管理部门的监督、监测，保持食堂及周围环境卫生良好，确保饮食卫生、安全</w:t>
      </w:r>
      <w:r>
        <w:rPr>
          <w:rFonts w:hint="eastAsia" w:ascii="宋体" w:hAnsi="宋体" w:eastAsia="宋体" w:cs="宋体"/>
          <w:sz w:val="21"/>
          <w:szCs w:val="21"/>
          <w:lang w:eastAsia="zh-CN"/>
        </w:rPr>
        <w:t>；</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中标人按</w:t>
      </w:r>
      <w:r>
        <w:rPr>
          <w:rFonts w:hint="eastAsia" w:ascii="宋体" w:hAnsi="宋体" w:eastAsia="宋体" w:cs="宋体"/>
          <w:sz w:val="21"/>
          <w:szCs w:val="21"/>
          <w:lang w:val="en-US" w:eastAsia="zh-CN"/>
        </w:rPr>
        <w:t>市场监督管理局</w:t>
      </w:r>
      <w:r>
        <w:rPr>
          <w:rFonts w:hint="eastAsia" w:ascii="宋体" w:hAnsi="宋体" w:eastAsia="宋体" w:cs="宋体"/>
          <w:sz w:val="21"/>
          <w:szCs w:val="21"/>
        </w:rPr>
        <w:t>、环评、消防等相关部门的要求配备完善后，方能经营，否则，所引发的一切后果由</w:t>
      </w:r>
      <w:r>
        <w:rPr>
          <w:rFonts w:hint="eastAsia" w:ascii="宋体" w:hAnsi="宋体" w:eastAsia="宋体" w:cs="宋体"/>
          <w:sz w:val="21"/>
          <w:szCs w:val="21"/>
          <w:lang w:val="en-US" w:eastAsia="zh-CN"/>
        </w:rPr>
        <w:t>中标人</w:t>
      </w:r>
      <w:r>
        <w:rPr>
          <w:rFonts w:hint="eastAsia" w:ascii="宋体" w:hAnsi="宋体" w:eastAsia="宋体" w:cs="宋体"/>
          <w:sz w:val="21"/>
          <w:szCs w:val="21"/>
        </w:rPr>
        <w:t>承担；</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中标人改变所中标食堂经营格局、设置使用、规格、经营内容等须</w:t>
      </w:r>
      <w:r>
        <w:rPr>
          <w:rFonts w:hint="eastAsia" w:ascii="宋体" w:hAnsi="宋体" w:eastAsia="宋体" w:cs="宋体"/>
          <w:sz w:val="21"/>
          <w:szCs w:val="21"/>
          <w:lang w:val="en-US" w:eastAsia="zh-CN"/>
        </w:rPr>
        <w:t>招标人</w:t>
      </w:r>
      <w:r>
        <w:rPr>
          <w:rFonts w:hint="eastAsia" w:ascii="宋体" w:hAnsi="宋体" w:eastAsia="宋体" w:cs="宋体"/>
          <w:sz w:val="21"/>
          <w:szCs w:val="21"/>
        </w:rPr>
        <w:t>审批，接受监督，如有更改必须书面向</w:t>
      </w:r>
      <w:r>
        <w:rPr>
          <w:rFonts w:hint="eastAsia" w:ascii="宋体" w:hAnsi="宋体" w:eastAsia="宋体" w:cs="宋体"/>
          <w:sz w:val="21"/>
          <w:szCs w:val="21"/>
          <w:lang w:val="en-US" w:eastAsia="zh-CN"/>
        </w:rPr>
        <w:t>招标人</w:t>
      </w:r>
      <w:r>
        <w:rPr>
          <w:rFonts w:hint="eastAsia" w:ascii="宋体" w:hAnsi="宋体" w:eastAsia="宋体" w:cs="宋体"/>
          <w:sz w:val="21"/>
          <w:szCs w:val="21"/>
        </w:rPr>
        <w:t>申请，同意后方能实施；</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食堂内部新增、改造的煤气管道必须邀请专业公司负责施工，产生的一切费用由中标人负责支付。</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中标人在食堂经营过程中必须遵守</w:t>
      </w:r>
      <w:r>
        <w:rPr>
          <w:rFonts w:hint="eastAsia" w:ascii="宋体" w:hAnsi="宋体" w:eastAsia="宋体" w:cs="宋体"/>
          <w:sz w:val="21"/>
          <w:szCs w:val="21"/>
          <w:lang w:val="en-US" w:eastAsia="zh-CN"/>
        </w:rPr>
        <w:t>招标人</w:t>
      </w:r>
      <w:r>
        <w:rPr>
          <w:rFonts w:hint="eastAsia" w:ascii="宋体" w:hAnsi="宋体" w:eastAsia="宋体" w:cs="宋体"/>
          <w:sz w:val="21"/>
          <w:szCs w:val="21"/>
        </w:rPr>
        <w:t>的各项规章制度。食堂须按</w:t>
      </w:r>
      <w:r>
        <w:rPr>
          <w:rFonts w:hint="eastAsia" w:ascii="宋体" w:hAnsi="宋体" w:eastAsia="宋体" w:cs="宋体"/>
          <w:sz w:val="21"/>
          <w:szCs w:val="21"/>
          <w:lang w:val="en-US" w:eastAsia="zh-CN"/>
        </w:rPr>
        <w:t>招标人</w:t>
      </w:r>
      <w:r>
        <w:rPr>
          <w:rFonts w:hint="eastAsia" w:ascii="宋体" w:hAnsi="宋体" w:eastAsia="宋体" w:cs="宋体"/>
          <w:sz w:val="21"/>
          <w:szCs w:val="21"/>
        </w:rPr>
        <w:t>规定的日期和时间按时营业，具体营业时间由</w:t>
      </w:r>
      <w:r>
        <w:rPr>
          <w:rFonts w:hint="eastAsia" w:ascii="宋体" w:hAnsi="宋体" w:eastAsia="宋体" w:cs="宋体"/>
          <w:sz w:val="21"/>
          <w:szCs w:val="21"/>
          <w:lang w:val="en-US" w:eastAsia="zh-CN"/>
        </w:rPr>
        <w:t>招标人</w:t>
      </w:r>
      <w:r>
        <w:rPr>
          <w:rFonts w:hint="eastAsia" w:ascii="宋体" w:hAnsi="宋体" w:eastAsia="宋体" w:cs="宋体"/>
          <w:sz w:val="21"/>
          <w:szCs w:val="21"/>
        </w:rPr>
        <w:t>具体安排；如因特殊原因需调整经营时间，中标人要向</w:t>
      </w:r>
      <w:r>
        <w:rPr>
          <w:rFonts w:hint="eastAsia" w:ascii="宋体" w:hAnsi="宋体" w:eastAsia="宋体" w:cs="宋体"/>
          <w:sz w:val="21"/>
          <w:szCs w:val="21"/>
          <w:lang w:val="en-US" w:eastAsia="zh-CN"/>
        </w:rPr>
        <w:t>招标人</w:t>
      </w:r>
      <w:r>
        <w:rPr>
          <w:rFonts w:hint="eastAsia" w:ascii="宋体" w:hAnsi="宋体" w:eastAsia="宋体" w:cs="宋体"/>
          <w:sz w:val="21"/>
          <w:szCs w:val="21"/>
        </w:rPr>
        <w:t>提交书面申请，经</w:t>
      </w:r>
      <w:r>
        <w:rPr>
          <w:rFonts w:hint="eastAsia" w:ascii="宋体" w:hAnsi="宋体" w:eastAsia="宋体" w:cs="宋体"/>
          <w:sz w:val="21"/>
          <w:szCs w:val="21"/>
          <w:lang w:val="en-US" w:eastAsia="zh-CN"/>
        </w:rPr>
        <w:t>招标人</w:t>
      </w:r>
      <w:r>
        <w:rPr>
          <w:rFonts w:hint="eastAsia" w:ascii="宋体" w:hAnsi="宋体" w:eastAsia="宋体" w:cs="宋体"/>
          <w:sz w:val="21"/>
          <w:szCs w:val="21"/>
        </w:rPr>
        <w:t>同意后方可调整经营时间。</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7.中标人的配餐间及配餐车必须配置保温设施。</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8.中标人需提供多种点餐摸式，如微信小程序下单点餐，或者现场病房下单点餐，或者入院时办理饭卡下单点餐等。</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9.中标人</w:t>
      </w:r>
      <w:r>
        <w:rPr>
          <w:rFonts w:hint="eastAsia" w:ascii="宋体" w:hAnsi="宋体" w:eastAsia="宋体" w:cs="宋体"/>
          <w:sz w:val="21"/>
          <w:szCs w:val="21"/>
          <w:lang w:eastAsia="zh-CN"/>
        </w:rPr>
        <w:t>自行承担经营期间的相关费用（包括水、电、燃气费等），</w:t>
      </w:r>
      <w:r>
        <w:rPr>
          <w:rFonts w:hint="eastAsia" w:ascii="宋体" w:hAnsi="宋体" w:eastAsia="宋体" w:cs="宋体"/>
          <w:sz w:val="21"/>
          <w:szCs w:val="21"/>
          <w:lang w:val="en-US" w:eastAsia="zh-CN"/>
        </w:rPr>
        <w:t>所产生的水电费（包括就餐区、食品加工区、配餐区等），按电费1元/度(含线路损耗、消防用电分摊及弱电部分费用)、水费3.63元/立方（含污水处理费）价格，每月准时通过银行转账方式向招标人指定账户支付。</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中标人须承担食堂运营中所有食品的质量安全责任，如因食品质量、卫生等问题而导致</w:t>
      </w:r>
      <w:r>
        <w:rPr>
          <w:rFonts w:hint="eastAsia" w:ascii="宋体" w:hAnsi="宋体" w:eastAsia="宋体" w:cs="宋体"/>
          <w:sz w:val="21"/>
          <w:szCs w:val="21"/>
          <w:lang w:val="en-US" w:eastAsia="zh-CN"/>
        </w:rPr>
        <w:t>发生</w:t>
      </w:r>
      <w:r>
        <w:rPr>
          <w:rFonts w:hint="eastAsia" w:ascii="宋体" w:hAnsi="宋体" w:eastAsia="宋体" w:cs="宋体"/>
          <w:sz w:val="21"/>
          <w:szCs w:val="21"/>
        </w:rPr>
        <w:t>中毒、致病等危及身体或生命安全的事故，责任全部由中标人承担。如在防火、防盗、用电等方面造成财产损失或人身伤害等事故，责任由中标人承担。</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中标人自负盈亏，独自承担食堂所涉对外的债权债务，</w:t>
      </w:r>
      <w:r>
        <w:rPr>
          <w:rFonts w:hint="eastAsia" w:ascii="宋体" w:hAnsi="宋体" w:eastAsia="宋体" w:cs="宋体"/>
          <w:sz w:val="21"/>
          <w:szCs w:val="21"/>
          <w:lang w:val="en-US" w:eastAsia="zh-CN"/>
        </w:rPr>
        <w:t>招标人</w:t>
      </w:r>
      <w:r>
        <w:rPr>
          <w:rFonts w:hint="eastAsia" w:ascii="宋体" w:hAnsi="宋体" w:eastAsia="宋体" w:cs="宋体"/>
          <w:sz w:val="21"/>
          <w:szCs w:val="21"/>
        </w:rPr>
        <w:t>不承担食堂产生的任何债务。</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物资采购。食堂物资食品必须到合法经营单位采购，并按国家有关规定验查有关饮食物资食品经营单位的证照，特别是应确认经营者具有有效的食品卫生许可证和工商营业执照。大米、面粉、食用油、肉、蛋类等大宗食品，必须按上级要求具有质量保证，大米无霉变颗粒均匀，无杂质，蒸熟后有米饭香味，价格不低于3.5元/斤。所有物资采购须保存发票，以备检查，如无发票或发票不真实则视同不合格采购。</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中标人大宗商品的采购应按食品准入的有关要求进行。如果中标人采购的大米、食油、肉禽类品质过低，</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有权要求</w:t>
      </w:r>
      <w:r>
        <w:rPr>
          <w:rFonts w:hint="eastAsia" w:ascii="宋体" w:hAnsi="宋体" w:eastAsia="宋体" w:cs="宋体"/>
          <w:sz w:val="21"/>
          <w:szCs w:val="21"/>
          <w:lang w:val="en-US" w:eastAsia="zh-CN"/>
        </w:rPr>
        <w:t>中标人</w:t>
      </w:r>
      <w:r>
        <w:rPr>
          <w:rFonts w:hint="eastAsia" w:ascii="宋体" w:hAnsi="宋体" w:eastAsia="宋体" w:cs="宋体"/>
          <w:sz w:val="21"/>
          <w:szCs w:val="21"/>
          <w:lang w:eastAsia="zh-CN"/>
        </w:rPr>
        <w:t>更换；食品来源要确保无污染；蔬菜来源于“无公害蔬菜基地”，每天有农药检测记录，所有蔬菜食用前均须浸泡消毒、洗净。肉禽类原料由国营肉联厂或者符合合格标准的生产厂家提供，必须要有防疫检验证明；粮油、干货有保质期、生产厂家、标签，保证不过期、不霉变。中标人如果采购霉变米或质量不合格的劣质食油或其它不合格食品或食品原料的，一经发现，</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有权立即解除合同；如造成人身健康伤害，中标人应承担相应法律及经济责任。</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13.</w:t>
      </w:r>
      <w:r>
        <w:rPr>
          <w:rFonts w:hint="eastAsia" w:ascii="宋体" w:hAnsi="宋体" w:eastAsia="宋体" w:cs="宋体"/>
          <w:sz w:val="21"/>
          <w:szCs w:val="21"/>
          <w:lang w:eastAsia="zh-CN"/>
        </w:rPr>
        <w:t>监督管理：</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对食堂进行监管，中标人必须无条件服从</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的监管。如果中标人不按</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正确、合理要求进行整改，或不提供相应证件、检测记录，超过两次</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有权解除合同。</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lang w:eastAsia="zh-CN"/>
        </w:rPr>
        <w:t>卫生标准：严格按照《中华人民共和国食品卫生法》、中华人民共和国卫生部《餐饮业食品卫生管理办法》，以及</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内部的相关规定，自觉接受市、区卫生部门的监督、检测。实行食品48小时留样备检制度。搞好食堂及周围的环境卫生，每天做三次全面的卫生清洁，每月做一次灭四害工作，确保饮食卫生，保持食堂禁烟禁酒良好的卫生环境。如经过有关部门检查不符合卫生要求，除中标人承担检查部门的处罚外，超过</w:t>
      </w:r>
      <w:r>
        <w:rPr>
          <w:rFonts w:hint="eastAsia" w:ascii="宋体" w:hAnsi="宋体" w:eastAsia="宋体" w:cs="宋体"/>
          <w:sz w:val="21"/>
          <w:szCs w:val="21"/>
          <w:lang w:val="en-US" w:eastAsia="zh-CN"/>
        </w:rPr>
        <w:t>两</w:t>
      </w:r>
      <w:r>
        <w:rPr>
          <w:rFonts w:hint="eastAsia" w:ascii="宋体" w:hAnsi="宋体" w:eastAsia="宋体" w:cs="宋体"/>
          <w:sz w:val="21"/>
          <w:szCs w:val="21"/>
          <w:lang w:eastAsia="zh-CN"/>
        </w:rPr>
        <w:t>次</w:t>
      </w:r>
      <w:r>
        <w:rPr>
          <w:rFonts w:hint="eastAsia" w:ascii="宋体" w:hAnsi="宋体" w:eastAsia="宋体" w:cs="宋体"/>
          <w:sz w:val="21"/>
          <w:szCs w:val="21"/>
          <w:lang w:val="en-US" w:eastAsia="zh-CN"/>
        </w:rPr>
        <w:t>招标人</w:t>
      </w:r>
      <w:r>
        <w:rPr>
          <w:rFonts w:hint="eastAsia" w:ascii="宋体" w:hAnsi="宋体" w:eastAsia="宋体" w:cs="宋体"/>
          <w:sz w:val="21"/>
          <w:szCs w:val="21"/>
          <w:lang w:eastAsia="zh-CN"/>
        </w:rPr>
        <w:t>有权解除合同。</w:t>
      </w:r>
    </w:p>
    <w:p>
      <w:pPr>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lang w:eastAsia="zh-CN"/>
        </w:rPr>
        <w:t>.安全生产：中标人严格遵照《中华人民共和国安全生产法》《广东省安全生产条例》和珠海市有关安全生产的规章制度从事生产经营。</w:t>
      </w:r>
    </w:p>
    <w:p>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（五）项目服务人员</w:t>
      </w:r>
    </w:p>
    <w:p>
      <w:pPr>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1.中标人的义务</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（1）中标人应当依法用工，按照项目要求自行组织项目服务团队并及时支付相关费用，因中标人无妥善履行前述相关要求造成的责任及产生的所有费用由中标人自行承担；</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（2）中标人需承担项目服务人员的安全责任事故、意外事故等全部责任。项目服务人员在服务期内如出现安全事故，或者其他原因导致伤、残、亡等，由中标人自行承担全部责任及费用；</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（3）中标人需承担服务期内发生的所有劳资纠纷；</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（4）中标人应当保证项目服务人员遵守法律法规和招标人的各项规章制度，维护招标人利益。如因服务人员过错给招标人造成财产或其他损失的，由中标人承担全部责任及费用；</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（5）中标人项目服务人员应当遵守招标人各项工作制度，按照招标人与中标人共同拟订的工作计划、服务时间及工作流程等提供服务；</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（6）中标人应当确保服务期内项目服务团队的稳定，项目服务人员一经确认不得更换，如需更换，经招标人同意后方可更换；</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中标人应当有密切跟踪服务的能力，服务需及时且便捷（根据招标人的实际需要，及时响应），原则上招标人需要中标人指派项目服务人员现场响应时，中标人项目服务人员能够在1个工作日内抵达招标人指定地点并提供相应服务）。</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中标人需要落实满足有关国家、省、市、区政策要求，采购脱贫地区农副产品采购的最新要求文件，中标人必须在政府采购脱贫地区农副产品预留比例不低于最新文件要求食堂食材采购的相应预留份额，并配合招标人在相应平台上完成该采购工作。</w:t>
      </w:r>
    </w:p>
    <w:p>
      <w:pPr>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（9）配合招标人开展相关工作，提供就餐区域用于医院日常活动场地。</w:t>
      </w:r>
    </w:p>
    <w:p>
      <w:pPr>
        <w:pageBreakBefore w:val="0"/>
        <w:widowControl w:val="0"/>
        <w:kinsoku/>
        <w:wordWrap/>
        <w:overflowPunct/>
        <w:topLinePunct w:val="0"/>
        <w:autoSpaceDE/>
        <w:autoSpaceDN/>
        <w:bidi w:val="0"/>
        <w:spacing w:line="360" w:lineRule="auto"/>
        <w:ind w:left="0" w:leftChars="0" w:firstLine="331" w:firstLineChars="158"/>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注：因中标人无妥善履行上述相关要求造成的责任及产生的所有费用由中标人自行承担。</w:t>
      </w:r>
    </w:p>
    <w:p>
      <w:pPr>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2.项目服务人员要求</w:t>
      </w:r>
    </w:p>
    <w:p>
      <w:pPr>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为项目配置不少于12位全职人员，人员包括食品安全总监、食品安全管理员各一人（提供团队人员名单，格式自拟），中标人须于签订正式合同之日起5个工作日内向招标人提供符合本项目需求的人员名单、职务、身份证复印件、技术等级、有效健康证等资料复印件交招标人备案，未经招标人同意，中标人不能擅自更换上述工作人员。未按照约定时间配备满足项目需求的人员并将相关资料交招标人备案的，招标人有权取消其中标资格。具有食品经营许可证经营范围（包括但不限于）：热食类食品制售、糕点类食品、自制饮品等（提供食品经营许可证，且须体现经营范围）。对主管部门的例行检查，积极解决检查中发现的问题，认真制定整改方案，及时整改，并记录存档。</w:t>
      </w:r>
    </w:p>
    <w:p>
      <w:pPr>
        <w:pageBreakBefore w:val="0"/>
        <w:widowControl w:val="0"/>
        <w:numPr>
          <w:ilvl w:val="0"/>
          <w:numId w:val="2"/>
        </w:numPr>
        <w:kinsoku/>
        <w:wordWrap/>
        <w:overflowPunct/>
        <w:topLinePunct w:val="0"/>
        <w:autoSpaceDE/>
        <w:autoSpaceDN/>
        <w:bidi w:val="0"/>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项目考核</w:t>
      </w:r>
      <w:r>
        <w:rPr>
          <w:rFonts w:hint="eastAsia" w:ascii="宋体" w:hAnsi="宋体" w:eastAsia="宋体" w:cs="宋体"/>
          <w:b/>
          <w:bCs/>
          <w:sz w:val="21"/>
          <w:szCs w:val="21"/>
        </w:rPr>
        <w:t>要求</w:t>
      </w:r>
    </w:p>
    <w:p>
      <w:pPr>
        <w:pageBreakBefore w:val="0"/>
        <w:widowControl w:val="0"/>
        <w:numPr>
          <w:ilvl w:val="0"/>
          <w:numId w:val="0"/>
        </w:numPr>
        <w:kinsoku/>
        <w:wordWrap/>
        <w:overflowPunct/>
        <w:topLinePunct w:val="0"/>
        <w:autoSpaceDE/>
        <w:autoSpaceDN/>
        <w:bidi w:val="0"/>
        <w:spacing w:line="360" w:lineRule="auto"/>
        <w:ind w:left="420" w:leftChars="200" w:firstLine="0" w:firstLineChars="0"/>
        <w:textAlignment w:val="auto"/>
        <w:rPr>
          <w:rFonts w:hint="eastAsia" w:ascii="宋体" w:hAnsi="宋体" w:eastAsia="宋体" w:cs="宋体"/>
          <w:b/>
          <w:bCs/>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具体考核细则由招标人根据实际情况随时更新</w:t>
      </w:r>
      <w:r>
        <w:rPr>
          <w:rFonts w:hint="eastAsia" w:ascii="宋体" w:hAnsi="宋体" w:eastAsia="宋体" w:cs="宋体"/>
          <w:sz w:val="21"/>
          <w:szCs w:val="21"/>
          <w:lang w:eastAsia="zh-CN"/>
        </w:rPr>
        <w:t>）</w:t>
      </w:r>
    </w:p>
    <w:p>
      <w:pPr>
        <w:autoSpaceDE/>
        <w:autoSpaceDN/>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中标人需制定进场及退场机制。经营前</w:t>
      </w:r>
      <w:r>
        <w:rPr>
          <w:rFonts w:hint="eastAsia" w:ascii="宋体" w:hAnsi="宋体" w:eastAsia="宋体" w:cs="宋体"/>
          <w:b w:val="0"/>
          <w:bCs w:val="0"/>
          <w:sz w:val="21"/>
          <w:szCs w:val="21"/>
          <w:lang w:val="en-US" w:eastAsia="zh-CN"/>
        </w:rPr>
        <w:t>2个月为试用考评月，根据招标人制定的考评机制，该考评机制包括但不限于服务质量考核表、上级主管部门的例行检查等。考评月考核评分满分为100分，每月一评，当累计二次考核分数低于70分，医院有权无偿终止合同，中标人按招标人要求的退场时间退场。进入正式运营后，</w:t>
      </w:r>
      <w:r>
        <w:rPr>
          <w:rFonts w:hint="eastAsia" w:ascii="宋体" w:hAnsi="宋体" w:eastAsia="宋体" w:cs="宋体"/>
          <w:b w:val="0"/>
          <w:bCs w:val="0"/>
          <w:sz w:val="21"/>
          <w:szCs w:val="21"/>
        </w:rPr>
        <w:t>本项目实行质量与服务季度考核方案，并严格执行，</w:t>
      </w:r>
      <w:r>
        <w:rPr>
          <w:rFonts w:hint="eastAsia" w:ascii="宋体" w:hAnsi="宋体" w:eastAsia="宋体" w:cs="宋体"/>
          <w:b w:val="0"/>
          <w:bCs w:val="0"/>
          <w:sz w:val="21"/>
          <w:szCs w:val="21"/>
          <w:lang w:eastAsia="zh-CN"/>
        </w:rPr>
        <w:t>招标人</w:t>
      </w:r>
      <w:r>
        <w:rPr>
          <w:rFonts w:hint="eastAsia" w:ascii="宋体" w:hAnsi="宋体" w:eastAsia="宋体" w:cs="宋体"/>
          <w:b w:val="0"/>
          <w:bCs w:val="0"/>
          <w:sz w:val="21"/>
          <w:szCs w:val="21"/>
        </w:rPr>
        <w:t>每季度对中标人提供的服务进行考核</w:t>
      </w:r>
      <w:r>
        <w:rPr>
          <w:rFonts w:hint="eastAsia" w:ascii="宋体" w:hAnsi="宋体" w:eastAsia="宋体" w:cs="宋体"/>
          <w:b w:val="0"/>
          <w:bCs w:val="0"/>
          <w:sz w:val="21"/>
          <w:szCs w:val="21"/>
          <w:lang w:val="en-US" w:eastAsia="zh-CN"/>
        </w:rPr>
        <w:t>，考核满分为100分。当考核分数≦70分，记录在案一次，当年度累计2次考核分数≦70分,</w:t>
      </w:r>
      <w:r>
        <w:rPr>
          <w:rFonts w:hint="eastAsia" w:ascii="宋体" w:hAnsi="宋体" w:eastAsia="宋体" w:cs="宋体"/>
          <w:b w:val="0"/>
          <w:bCs w:val="0"/>
          <w:sz w:val="21"/>
          <w:szCs w:val="21"/>
          <w:lang w:eastAsia="zh-CN"/>
        </w:rPr>
        <w:t>招标人</w:t>
      </w:r>
      <w:r>
        <w:rPr>
          <w:rFonts w:hint="eastAsia" w:ascii="宋体" w:hAnsi="宋体" w:eastAsia="宋体" w:cs="宋体"/>
          <w:b w:val="0"/>
          <w:bCs w:val="0"/>
          <w:sz w:val="21"/>
          <w:szCs w:val="21"/>
          <w:lang w:val="en-US" w:eastAsia="zh-CN"/>
        </w:rPr>
        <w:t>有权无偿终止合同，</w:t>
      </w:r>
      <w:r>
        <w:rPr>
          <w:rFonts w:hint="eastAsia" w:ascii="宋体" w:hAnsi="宋体" w:eastAsia="宋体" w:cs="宋体"/>
          <w:b w:val="0"/>
          <w:bCs w:val="0"/>
          <w:sz w:val="21"/>
          <w:szCs w:val="21"/>
        </w:rPr>
        <w:t>相关损失由中标人自行承担</w:t>
      </w:r>
      <w:r>
        <w:rPr>
          <w:rFonts w:hint="eastAsia" w:ascii="宋体" w:hAnsi="宋体" w:eastAsia="宋体" w:cs="宋体"/>
          <w:b w:val="0"/>
          <w:bCs w:val="0"/>
          <w:sz w:val="21"/>
          <w:szCs w:val="21"/>
          <w:lang w:val="en-US" w:eastAsia="zh-CN"/>
        </w:rPr>
        <w:t>,中标人按招标人要求的退场时间退场。</w:t>
      </w:r>
      <w:r>
        <w:rPr>
          <w:rFonts w:hint="eastAsia" w:ascii="宋体" w:hAnsi="宋体" w:eastAsia="宋体" w:cs="宋体"/>
          <w:b w:val="0"/>
          <w:bCs w:val="0"/>
          <w:sz w:val="21"/>
          <w:szCs w:val="21"/>
        </w:rPr>
        <w:t>考核评分标准</w:t>
      </w:r>
      <w:r>
        <w:rPr>
          <w:rFonts w:hint="eastAsia" w:ascii="宋体" w:hAnsi="宋体" w:eastAsia="宋体" w:cs="宋体"/>
          <w:b w:val="0"/>
          <w:bCs w:val="0"/>
          <w:sz w:val="21"/>
          <w:szCs w:val="21"/>
          <w:lang w:val="en-US" w:eastAsia="zh-CN"/>
        </w:rPr>
        <w:t>见附件考核表</w:t>
      </w:r>
      <w:r>
        <w:rPr>
          <w:rFonts w:hint="eastAsia" w:ascii="宋体" w:hAnsi="宋体" w:eastAsia="宋体" w:cs="宋体"/>
          <w:b w:val="0"/>
          <w:bCs w:val="0"/>
          <w:sz w:val="21"/>
          <w:szCs w:val="21"/>
        </w:rPr>
        <w:t>（以</w:t>
      </w:r>
      <w:r>
        <w:rPr>
          <w:rFonts w:hint="eastAsia" w:ascii="宋体" w:hAnsi="宋体" w:eastAsia="宋体" w:cs="宋体"/>
          <w:b w:val="0"/>
          <w:bCs w:val="0"/>
          <w:sz w:val="21"/>
          <w:szCs w:val="21"/>
          <w:lang w:eastAsia="zh-CN"/>
        </w:rPr>
        <w:t>招标人</w:t>
      </w:r>
      <w:r>
        <w:rPr>
          <w:rFonts w:hint="eastAsia" w:ascii="宋体" w:hAnsi="宋体" w:eastAsia="宋体" w:cs="宋体"/>
          <w:b w:val="0"/>
          <w:bCs w:val="0"/>
          <w:sz w:val="21"/>
          <w:szCs w:val="21"/>
        </w:rPr>
        <w:t>实际需求随时更改，中标人须无条件配合）</w:t>
      </w:r>
      <w:r>
        <w:rPr>
          <w:rFonts w:hint="eastAsia" w:ascii="宋体" w:hAnsi="宋体" w:eastAsia="宋体" w:cs="宋体"/>
          <w:b w:val="0"/>
          <w:bCs w:val="0"/>
          <w:sz w:val="21"/>
          <w:szCs w:val="21"/>
          <w:lang w:eastAsia="zh-CN"/>
        </w:rPr>
        <w:t>。</w:t>
      </w: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center"/>
        <w:rPr>
          <w:b/>
          <w:bCs/>
          <w:spacing w:val="8"/>
        </w:rPr>
      </w:pPr>
    </w:p>
    <w:p>
      <w:pPr>
        <w:pStyle w:val="4"/>
        <w:spacing w:before="65" w:line="228" w:lineRule="auto"/>
        <w:jc w:val="left"/>
        <w:rPr>
          <w:rFonts w:hint="eastAsia" w:eastAsia="宋体"/>
          <w:b/>
          <w:bCs/>
          <w:spacing w:val="8"/>
          <w:lang w:val="en-US" w:eastAsia="zh-CN"/>
        </w:rPr>
      </w:pPr>
      <w:r>
        <w:rPr>
          <w:rFonts w:hint="eastAsia"/>
          <w:b/>
          <w:bCs/>
          <w:spacing w:val="8"/>
          <w:lang w:val="en-US" w:eastAsia="zh-CN"/>
        </w:rPr>
        <w:t>附件：</w:t>
      </w:r>
    </w:p>
    <w:p>
      <w:pPr>
        <w:pStyle w:val="4"/>
        <w:spacing w:before="65" w:line="228" w:lineRule="auto"/>
        <w:jc w:val="center"/>
      </w:pPr>
      <w:r>
        <w:rPr>
          <w:b/>
          <w:bCs/>
          <w:spacing w:val="8"/>
        </w:rPr>
        <w:t>珠海市</w:t>
      </w:r>
      <w:r>
        <w:rPr>
          <w:rFonts w:hint="eastAsia"/>
          <w:b/>
          <w:bCs/>
          <w:spacing w:val="8"/>
          <w:lang w:eastAsia="zh-CN"/>
        </w:rPr>
        <w:t>第五人民医院食堂</w:t>
      </w:r>
      <w:r>
        <w:rPr>
          <w:b/>
          <w:bCs/>
          <w:spacing w:val="8"/>
        </w:rPr>
        <w:t>服务质量考核表</w:t>
      </w:r>
    </w:p>
    <w:p>
      <w:pPr>
        <w:spacing w:line="132" w:lineRule="exact"/>
      </w:pPr>
    </w:p>
    <w:tbl>
      <w:tblPr>
        <w:tblStyle w:val="12"/>
        <w:tblpPr w:leftFromText="180" w:rightFromText="180" w:vertAnchor="text" w:horzAnchor="page" w:tblpX="1049" w:tblpY="154"/>
        <w:tblOverlap w:val="never"/>
        <w:tblW w:w="987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1"/>
        <w:gridCol w:w="1085"/>
        <w:gridCol w:w="6046"/>
        <w:gridCol w:w="808"/>
        <w:gridCol w:w="7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161" w:type="dxa"/>
            <w:noWrap w:val="0"/>
            <w:vAlign w:val="top"/>
          </w:tcPr>
          <w:p>
            <w:pPr>
              <w:pStyle w:val="11"/>
              <w:spacing w:before="35" w:line="360" w:lineRule="auto"/>
              <w:ind w:left="415" w:right="198" w:hanging="208"/>
            </w:pPr>
            <w:r>
              <w:rPr>
                <w:b/>
                <w:bCs/>
                <w:spacing w:val="5"/>
              </w:rPr>
              <w:t>考核模</w:t>
            </w:r>
            <w:r>
              <w:t xml:space="preserve"> </w:t>
            </w:r>
            <w:r>
              <w:rPr>
                <w:b/>
                <w:bCs/>
                <w:spacing w:val="-2"/>
              </w:rPr>
              <w:t>块</w:t>
            </w:r>
          </w:p>
        </w:tc>
        <w:tc>
          <w:tcPr>
            <w:tcW w:w="1085" w:type="dxa"/>
            <w:noWrap w:val="0"/>
            <w:vAlign w:val="top"/>
          </w:tcPr>
          <w:p>
            <w:pPr>
              <w:pStyle w:val="11"/>
              <w:spacing w:before="35" w:line="360" w:lineRule="auto"/>
              <w:ind w:left="344" w:right="129" w:hanging="212"/>
            </w:pPr>
            <w:r>
              <w:rPr>
                <w:b/>
                <w:bCs/>
                <w:spacing w:val="5"/>
              </w:rPr>
              <w:t>评价指</w:t>
            </w:r>
            <w:r>
              <w:rPr>
                <w:spacing w:val="1"/>
              </w:rPr>
              <w:t xml:space="preserve"> </w:t>
            </w:r>
            <w:r>
              <w:rPr>
                <w:b/>
                <w:bCs/>
                <w:spacing w:val="-3"/>
              </w:rPr>
              <w:t>标</w:t>
            </w:r>
          </w:p>
        </w:tc>
        <w:tc>
          <w:tcPr>
            <w:tcW w:w="6046" w:type="dxa"/>
            <w:noWrap w:val="0"/>
            <w:vAlign w:val="top"/>
          </w:tcPr>
          <w:p>
            <w:pPr>
              <w:pStyle w:val="11"/>
              <w:spacing w:before="240" w:line="228" w:lineRule="auto"/>
              <w:ind w:left="2561"/>
            </w:pPr>
            <w:r>
              <w:rPr>
                <w:b/>
                <w:bCs/>
                <w:spacing w:val="6"/>
              </w:rPr>
              <w:t>考核标准</w:t>
            </w:r>
          </w:p>
        </w:tc>
        <w:tc>
          <w:tcPr>
            <w:tcW w:w="808" w:type="dxa"/>
            <w:noWrap w:val="0"/>
            <w:vAlign w:val="top"/>
          </w:tcPr>
          <w:p>
            <w:pPr>
              <w:pStyle w:val="11"/>
              <w:spacing w:before="240" w:line="228" w:lineRule="auto"/>
              <w:ind w:left="151"/>
            </w:pPr>
            <w:r>
              <w:rPr>
                <w:b/>
                <w:bCs/>
                <w:spacing w:val="2"/>
              </w:rPr>
              <w:t>分值</w:t>
            </w:r>
          </w:p>
        </w:tc>
        <w:tc>
          <w:tcPr>
            <w:tcW w:w="773" w:type="dxa"/>
            <w:noWrap w:val="0"/>
            <w:vAlign w:val="top"/>
          </w:tcPr>
          <w:p>
            <w:pPr>
              <w:pStyle w:val="11"/>
              <w:spacing w:before="240" w:line="228" w:lineRule="auto"/>
              <w:ind w:left="124"/>
            </w:pPr>
            <w:r>
              <w:rPr>
                <w:b/>
                <w:bCs/>
                <w:spacing w:val="3"/>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1" w:hRule="atLeast"/>
        </w:trPr>
        <w:tc>
          <w:tcPr>
            <w:tcW w:w="1161" w:type="dxa"/>
            <w:noWrap w:val="0"/>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11"/>
              <w:spacing w:before="65" w:line="228" w:lineRule="auto"/>
              <w:ind w:left="211"/>
            </w:pPr>
            <w:r>
              <w:rPr>
                <w:b/>
                <w:bCs/>
                <w:spacing w:val="4"/>
              </w:rPr>
              <w:t>安全标</w:t>
            </w:r>
          </w:p>
          <w:p>
            <w:pPr>
              <w:pStyle w:val="11"/>
              <w:spacing w:before="159" w:line="365" w:lineRule="auto"/>
              <w:ind w:left="312" w:right="199" w:hanging="106"/>
            </w:pPr>
            <w:r>
              <w:rPr>
                <w:b/>
                <w:bCs/>
                <w:spacing w:val="3"/>
              </w:rPr>
              <w:t>准（40</w:t>
            </w:r>
            <w:r>
              <w:rPr>
                <w:spacing w:val="1"/>
              </w:rPr>
              <w:t xml:space="preserve"> </w:t>
            </w:r>
            <w:r>
              <w:rPr>
                <w:b/>
                <w:bCs/>
                <w:spacing w:val="-3"/>
              </w:rPr>
              <w:t>分）</w:t>
            </w:r>
          </w:p>
        </w:tc>
        <w:tc>
          <w:tcPr>
            <w:tcW w:w="1085" w:type="dxa"/>
            <w:noWrap w:val="0"/>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11"/>
              <w:spacing w:before="65" w:line="228" w:lineRule="auto"/>
              <w:ind w:left="211"/>
              <w:rPr>
                <w:rFonts w:ascii="宋体" w:hAnsi="宋体" w:eastAsia="宋体" w:cs="宋体"/>
                <w:b/>
                <w:bCs/>
                <w:spacing w:val="4"/>
              </w:rPr>
            </w:pPr>
          </w:p>
          <w:p>
            <w:pPr>
              <w:pStyle w:val="11"/>
              <w:spacing w:before="65" w:line="228" w:lineRule="auto"/>
              <w:ind w:left="211"/>
            </w:pPr>
            <w:r>
              <w:rPr>
                <w:rFonts w:ascii="宋体" w:hAnsi="宋体" w:eastAsia="宋体" w:cs="宋体"/>
                <w:b/>
                <w:bCs/>
                <w:spacing w:val="4"/>
              </w:rPr>
              <w:t>生产安</w:t>
            </w:r>
            <w:r>
              <w:rPr>
                <w:b/>
                <w:bCs/>
                <w:spacing w:val="-2"/>
              </w:rPr>
              <w:t>全</w:t>
            </w:r>
          </w:p>
        </w:tc>
        <w:tc>
          <w:tcPr>
            <w:tcW w:w="6046" w:type="dxa"/>
            <w:noWrap w:val="0"/>
            <w:vAlign w:val="top"/>
          </w:tcPr>
          <w:p>
            <w:pPr>
              <w:pStyle w:val="11"/>
              <w:spacing w:before="30" w:line="367" w:lineRule="auto"/>
              <w:ind w:left="113" w:right="210" w:firstLine="422"/>
              <w:jc w:val="left"/>
              <w:rPr>
                <w:rFonts w:ascii="宋体" w:hAnsi="宋体" w:eastAsia="宋体" w:cs="宋体"/>
                <w:spacing w:val="7"/>
                <w:sz w:val="20"/>
                <w:szCs w:val="20"/>
                <w:lang w:val="en-US" w:eastAsia="en-US" w:bidi="ar-SA"/>
              </w:rPr>
            </w:pPr>
            <w:r>
              <w:rPr>
                <w:rFonts w:ascii="宋体" w:hAnsi="宋体" w:eastAsia="宋体" w:cs="宋体"/>
                <w:spacing w:val="7"/>
                <w:sz w:val="20"/>
                <w:szCs w:val="20"/>
                <w:lang w:val="en-US" w:eastAsia="en-US" w:bidi="ar-SA"/>
              </w:rPr>
              <w:t>1.关键记录不得缺失，如巡查记录、餐具消毒记录、食品留样记录、食品添加剂使用记录、燃气用电使用记录、安全卫 生检查记录、外来人员登记记录、冰库温度记录、消毒品配置 记录、农残检测记录、</w:t>
            </w:r>
            <w:r>
              <w:rPr>
                <w:rFonts w:hint="eastAsia" w:ascii="宋体" w:hAnsi="宋体" w:eastAsia="宋体" w:cs="宋体"/>
                <w:spacing w:val="7"/>
                <w:sz w:val="20"/>
                <w:szCs w:val="20"/>
                <w:lang w:val="en-US" w:eastAsia="zh-CN" w:bidi="ar-SA"/>
              </w:rPr>
              <w:t>厨房电器设备巡查记录、厨房抽排烟系统清洗记录、</w:t>
            </w:r>
            <w:r>
              <w:rPr>
                <w:rFonts w:ascii="宋体" w:hAnsi="宋体" w:eastAsia="宋体" w:cs="宋体"/>
                <w:spacing w:val="7"/>
                <w:sz w:val="20"/>
                <w:szCs w:val="20"/>
                <w:lang w:val="en-US" w:eastAsia="en-US" w:bidi="ar-SA"/>
              </w:rPr>
              <w:t>每日人员健康检查记录、培训记录等， 应如实记录，符合常识，不得伪造记录。</w:t>
            </w:r>
          </w:p>
          <w:p>
            <w:pPr>
              <w:pStyle w:val="11"/>
              <w:spacing w:before="30" w:line="367" w:lineRule="auto"/>
              <w:ind w:left="113" w:right="210" w:firstLine="422"/>
              <w:jc w:val="left"/>
              <w:rPr>
                <w:rFonts w:hint="default" w:ascii="宋体" w:hAnsi="宋体" w:eastAsia="宋体" w:cs="宋体"/>
                <w:spacing w:val="7"/>
                <w:sz w:val="20"/>
                <w:szCs w:val="20"/>
                <w:lang w:val="en-US" w:eastAsia="zh-CN" w:bidi="ar-SA"/>
              </w:rPr>
            </w:pPr>
            <w:r>
              <w:rPr>
                <w:rFonts w:ascii="宋体" w:hAnsi="宋体" w:eastAsia="宋体" w:cs="宋体"/>
                <w:spacing w:val="7"/>
                <w:sz w:val="20"/>
                <w:szCs w:val="20"/>
                <w:lang w:val="en-US" w:eastAsia="en-US" w:bidi="ar-SA"/>
              </w:rPr>
              <w:t>2.应协助验收食材，不得验收腐烂、异味、外包装破损、 过期等存在质量问题的食材，严禁使用非食用物质加工食品， 加工食物不得使用过期原辅料。</w:t>
            </w:r>
            <w:r>
              <w:rPr>
                <w:rFonts w:hint="eastAsia" w:ascii="宋体" w:hAnsi="宋体" w:eastAsia="宋体" w:cs="宋体"/>
                <w:spacing w:val="7"/>
                <w:sz w:val="20"/>
                <w:szCs w:val="20"/>
                <w:lang w:val="en-US" w:eastAsia="zh-CN" w:bidi="ar-SA"/>
              </w:rPr>
              <w:t>食材进货应主动索要单据（送货单、检验检疫报告）单据保留分类保存以备查验。</w:t>
            </w:r>
          </w:p>
          <w:p>
            <w:pPr>
              <w:pStyle w:val="11"/>
              <w:spacing w:before="33" w:line="362" w:lineRule="auto"/>
              <w:ind w:left="114" w:right="106" w:firstLine="423"/>
              <w:jc w:val="left"/>
              <w:rPr>
                <w:rFonts w:ascii="宋体" w:hAnsi="宋体" w:eastAsia="宋体" w:cs="宋体"/>
                <w:spacing w:val="7"/>
                <w:sz w:val="20"/>
                <w:szCs w:val="20"/>
                <w:lang w:val="en-US" w:eastAsia="en-US" w:bidi="ar-SA"/>
              </w:rPr>
            </w:pPr>
            <w:r>
              <w:rPr>
                <w:rFonts w:ascii="宋体" w:hAnsi="宋体" w:eastAsia="宋体" w:cs="宋体"/>
                <w:spacing w:val="7"/>
                <w:sz w:val="20"/>
                <w:szCs w:val="20"/>
                <w:lang w:val="en-US" w:eastAsia="en-US" w:bidi="ar-SA"/>
              </w:rPr>
              <w:t>3.添加剂必须符合GB2760的要求，添加剂的使用量必须符 合GB2760要求，不得随意使用非食品添加剂。</w:t>
            </w:r>
          </w:p>
          <w:p>
            <w:pPr>
              <w:pStyle w:val="11"/>
              <w:spacing w:before="32" w:line="362" w:lineRule="auto"/>
              <w:ind w:left="115" w:right="175" w:firstLine="417"/>
              <w:jc w:val="left"/>
            </w:pPr>
            <w:r>
              <w:rPr>
                <w:spacing w:val="9"/>
              </w:rPr>
              <w:t>4.烹调前应认真检查待加工食品，发现有腐烂、变质或者</w:t>
            </w:r>
            <w:r>
              <w:rPr>
                <w:spacing w:val="8"/>
              </w:rPr>
              <w:t>其他感官性状异常的，不得进行烹调加工。</w:t>
            </w:r>
          </w:p>
          <w:p>
            <w:pPr>
              <w:pStyle w:val="11"/>
              <w:spacing w:before="34" w:line="362" w:lineRule="auto"/>
              <w:ind w:left="117" w:right="175" w:firstLine="420"/>
              <w:jc w:val="left"/>
            </w:pPr>
            <w:r>
              <w:rPr>
                <w:spacing w:val="9"/>
              </w:rPr>
              <w:t>5.需要冷藏的熟制品，应尽快冷却后再冷藏，待用的食品</w:t>
            </w:r>
            <w:r>
              <w:rPr>
                <w:spacing w:val="8"/>
              </w:rPr>
              <w:t>与用具等应有良好覆盖或者保护。</w:t>
            </w:r>
          </w:p>
          <w:p>
            <w:pPr>
              <w:pStyle w:val="11"/>
              <w:spacing w:before="31" w:line="363" w:lineRule="auto"/>
              <w:ind w:left="114" w:right="103" w:firstLine="420"/>
              <w:jc w:val="left"/>
              <w:rPr>
                <w:spacing w:val="1"/>
              </w:rPr>
            </w:pPr>
            <w:r>
              <w:rPr>
                <w:spacing w:val="9"/>
              </w:rPr>
              <w:t>6.建立食品留样制度并有效实施，所有食品都应建立留样</w:t>
            </w:r>
            <w:r>
              <w:rPr>
                <w:spacing w:val="1"/>
              </w:rPr>
              <w:t xml:space="preserve"> </w:t>
            </w:r>
            <w:r>
              <w:rPr>
                <w:spacing w:val="7"/>
              </w:rPr>
              <w:t>制度，食品留样在在冷藏条件下存放</w:t>
            </w:r>
            <w:r>
              <w:rPr>
                <w:spacing w:val="-33"/>
              </w:rPr>
              <w:t xml:space="preserve"> </w:t>
            </w:r>
            <w:r>
              <w:rPr>
                <w:spacing w:val="7"/>
              </w:rPr>
              <w:t>48</w:t>
            </w:r>
            <w:r>
              <w:rPr>
                <w:spacing w:val="-35"/>
              </w:rPr>
              <w:t xml:space="preserve"> </w:t>
            </w:r>
            <w:r>
              <w:rPr>
                <w:spacing w:val="7"/>
              </w:rPr>
              <w:t>小时，每个留样不少于</w:t>
            </w:r>
            <w:r>
              <w:t xml:space="preserve"> </w:t>
            </w:r>
            <w:r>
              <w:rPr>
                <w:rFonts w:hint="eastAsia"/>
                <w:color w:val="auto"/>
                <w:spacing w:val="1"/>
                <w:lang w:val="en-US" w:eastAsia="zh-CN"/>
              </w:rPr>
              <w:t>125</w:t>
            </w:r>
            <w:r>
              <w:rPr>
                <w:color w:val="auto"/>
                <w:spacing w:val="1"/>
              </w:rPr>
              <w:t>g</w:t>
            </w:r>
            <w:r>
              <w:rPr>
                <w:spacing w:val="1"/>
              </w:rPr>
              <w:t>。</w:t>
            </w:r>
          </w:p>
          <w:p>
            <w:pPr>
              <w:pStyle w:val="11"/>
              <w:spacing w:before="37" w:line="362" w:lineRule="auto"/>
              <w:ind w:left="112" w:right="175" w:firstLine="425"/>
              <w:jc w:val="left"/>
            </w:pPr>
            <w:r>
              <w:rPr>
                <w:spacing w:val="9"/>
              </w:rPr>
              <w:t>7.操作间不得存在挂架超重，物品存储不得存在滑倒</w:t>
            </w:r>
            <w:r>
              <w:rPr>
                <w:spacing w:val="8"/>
              </w:rPr>
              <w:t>、碰撞、密闭空间关人等风险。</w:t>
            </w:r>
          </w:p>
          <w:p>
            <w:pPr>
              <w:pStyle w:val="11"/>
              <w:spacing w:before="32" w:line="369" w:lineRule="auto"/>
              <w:ind w:left="115" w:right="173" w:firstLine="419"/>
              <w:jc w:val="left"/>
            </w:pPr>
            <w:r>
              <w:rPr>
                <w:spacing w:val="9"/>
              </w:rPr>
              <w:t>8.烹调过程所使用的工器具、厨具、餐具、设备应正常使用和经过充分清洗和消毒，员工能够按照相应的程序正确清洗与消毒，清洗过程不造成交叉污染，清洗后的餐具和工器具保</w:t>
            </w:r>
            <w:r>
              <w:rPr>
                <w:spacing w:val="8"/>
              </w:rPr>
              <w:t>持清洁和清洗干净，待用工器具应正确存放。</w:t>
            </w:r>
          </w:p>
          <w:p>
            <w:pPr>
              <w:pStyle w:val="11"/>
              <w:spacing w:before="31" w:line="363" w:lineRule="auto"/>
              <w:ind w:left="114" w:right="103" w:firstLine="420"/>
              <w:jc w:val="left"/>
              <w:rPr>
                <w:rFonts w:hint="eastAsia" w:eastAsia="宋体"/>
                <w:spacing w:val="1"/>
                <w:lang w:val="en-US" w:eastAsia="zh-CN"/>
              </w:rPr>
            </w:pPr>
            <w:r>
              <w:rPr>
                <w:spacing w:val="7"/>
              </w:rPr>
              <w:t>（发现违反上述规定，每项每次扣</w:t>
            </w:r>
            <w:r>
              <w:rPr>
                <w:spacing w:val="-24"/>
              </w:rPr>
              <w:t xml:space="preserve"> </w:t>
            </w:r>
            <w:r>
              <w:rPr>
                <w:spacing w:val="7"/>
              </w:rPr>
              <w:t>1</w:t>
            </w:r>
            <w:r>
              <w:rPr>
                <w:spacing w:val="-35"/>
              </w:rPr>
              <w:t xml:space="preserve"> </w:t>
            </w:r>
            <w:r>
              <w:rPr>
                <w:spacing w:val="7"/>
              </w:rPr>
              <w:t>分，扣</w:t>
            </w:r>
            <w:r>
              <w:rPr>
                <w:spacing w:val="6"/>
              </w:rPr>
              <w:t>完为止</w:t>
            </w:r>
            <w:r>
              <w:rPr>
                <w:rFonts w:hint="eastAsia"/>
                <w:spacing w:val="6"/>
                <w:lang w:val="en-US" w:eastAsia="zh-CN"/>
              </w:rPr>
              <w:t>.</w:t>
            </w:r>
          </w:p>
        </w:tc>
        <w:tc>
          <w:tcPr>
            <w:tcW w:w="808" w:type="dxa"/>
            <w:noWrap w:val="0"/>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11"/>
              <w:spacing w:before="65" w:line="190" w:lineRule="auto"/>
              <w:ind w:left="269"/>
            </w:pPr>
            <w:r>
              <w:rPr>
                <w:b/>
                <w:bCs/>
                <w:spacing w:val="-9"/>
              </w:rPr>
              <w:t>10</w:t>
            </w:r>
          </w:p>
        </w:tc>
        <w:tc>
          <w:tcPr>
            <w:tcW w:w="773" w:type="dxa"/>
            <w:noWrap w:val="0"/>
            <w:vAlign w:val="top"/>
          </w:tcPr>
          <w:p>
            <w:pPr>
              <w:rPr>
                <w:rFonts w:ascii="Arial"/>
                <w:sz w:val="21"/>
              </w:rPr>
            </w:pPr>
          </w:p>
        </w:tc>
      </w:tr>
    </w:tbl>
    <w:p/>
    <w:tbl>
      <w:tblPr>
        <w:tblStyle w:val="12"/>
        <w:tblpPr w:leftFromText="180" w:rightFromText="180" w:vertAnchor="text" w:horzAnchor="page" w:tblpX="1046" w:tblpY="92"/>
        <w:tblOverlap w:val="never"/>
        <w:tblW w:w="99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8"/>
        <w:gridCol w:w="1088"/>
        <w:gridCol w:w="6062"/>
        <w:gridCol w:w="813"/>
        <w:gridCol w:w="7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6" w:hRule="atLeast"/>
        </w:trPr>
        <w:tc>
          <w:tcPr>
            <w:tcW w:w="1158" w:type="dxa"/>
            <w:tcBorders>
              <w:top w:val="nil"/>
            </w:tcBorders>
            <w:noWrap w:val="0"/>
            <w:vAlign w:val="top"/>
          </w:tcPr>
          <w:p>
            <w:pPr>
              <w:rPr>
                <w:rFonts w:ascii="Arial"/>
                <w:sz w:val="21"/>
              </w:rPr>
            </w:pPr>
          </w:p>
        </w:tc>
        <w:tc>
          <w:tcPr>
            <w:tcW w:w="1088" w:type="dxa"/>
            <w:noWrap w:val="0"/>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11"/>
              <w:spacing w:before="65" w:line="364" w:lineRule="auto"/>
              <w:ind w:left="349" w:right="129" w:hanging="217"/>
            </w:pPr>
            <w:r>
              <w:rPr>
                <w:b/>
                <w:bCs/>
                <w:spacing w:val="5"/>
              </w:rPr>
              <w:t>操作</w:t>
            </w:r>
            <w:r>
              <w:rPr>
                <w:rFonts w:hint="eastAsia"/>
                <w:b/>
                <w:bCs/>
                <w:spacing w:val="5"/>
                <w:lang w:eastAsia="zh-CN"/>
              </w:rPr>
              <w:t>规</w:t>
            </w:r>
            <w:r>
              <w:rPr>
                <w:b/>
                <w:bCs/>
                <w:spacing w:val="-3"/>
              </w:rPr>
              <w:t>范</w:t>
            </w:r>
          </w:p>
        </w:tc>
        <w:tc>
          <w:tcPr>
            <w:tcW w:w="6062" w:type="dxa"/>
            <w:noWrap w:val="0"/>
            <w:vAlign w:val="top"/>
          </w:tcPr>
          <w:p>
            <w:pPr>
              <w:pStyle w:val="11"/>
              <w:spacing w:before="33" w:line="369" w:lineRule="auto"/>
              <w:ind w:left="112" w:right="173" w:firstLine="436"/>
              <w:jc w:val="both"/>
            </w:pPr>
            <w:r>
              <w:rPr>
                <w:spacing w:val="8"/>
              </w:rPr>
              <w:t>1.所有食材应处理干净，除去杂物，不得留有异物，如</w:t>
            </w:r>
            <w:r>
              <w:rPr>
                <w:spacing w:val="9"/>
              </w:rPr>
              <w:t>蔬菜应除去泥沙与虫子、</w:t>
            </w:r>
            <w:r>
              <w:rPr>
                <w:spacing w:val="8"/>
              </w:rPr>
              <w:t>海</w:t>
            </w:r>
            <w:r>
              <w:rPr>
                <w:spacing w:val="9"/>
              </w:rPr>
              <w:t>鲜类除去沙子、家禽类去除内脏等工序，如猪皮、猪脚、鸡、鸭、鹅等不得有残毛；鱼类不得有残</w:t>
            </w:r>
            <w:r>
              <w:rPr>
                <w:spacing w:val="3"/>
              </w:rPr>
              <w:t>鳞</w:t>
            </w:r>
            <w:r>
              <w:rPr>
                <w:rFonts w:hint="eastAsia"/>
                <w:spacing w:val="3"/>
                <w:lang w:eastAsia="zh-CN"/>
              </w:rPr>
              <w:t>、</w:t>
            </w:r>
            <w:r>
              <w:rPr>
                <w:rFonts w:hint="eastAsia"/>
                <w:spacing w:val="3"/>
                <w:lang w:val="en-US" w:eastAsia="zh-CN"/>
              </w:rPr>
              <w:t>鱼钩</w:t>
            </w:r>
            <w:r>
              <w:rPr>
                <w:spacing w:val="3"/>
              </w:rPr>
              <w:t>等。</w:t>
            </w:r>
          </w:p>
          <w:p>
            <w:pPr>
              <w:pStyle w:val="11"/>
              <w:spacing w:before="34" w:line="367" w:lineRule="auto"/>
              <w:ind w:left="113" w:right="173" w:firstLine="422"/>
              <w:jc w:val="both"/>
            </w:pPr>
            <w:r>
              <w:rPr>
                <w:spacing w:val="5"/>
              </w:rPr>
              <w:t>2.蔬菜需要进行去皮处理，例如：莲藕、土豆、萝卜、冬</w:t>
            </w:r>
            <w:r>
              <w:t xml:space="preserve"> </w:t>
            </w:r>
            <w:r>
              <w:rPr>
                <w:spacing w:val="8"/>
              </w:rPr>
              <w:t>瓜（煲汤例外</w:t>
            </w:r>
            <w:r>
              <w:rPr>
                <w:spacing w:val="29"/>
              </w:rPr>
              <w:t>）；</w:t>
            </w:r>
            <w:r>
              <w:rPr>
                <w:spacing w:val="8"/>
              </w:rPr>
              <w:t>需切配的食材，应按菜式所需切配，切配大</w:t>
            </w:r>
            <w:r>
              <w:rPr>
                <w:spacing w:val="7"/>
              </w:rPr>
              <w:t>小均匀、长短均一。</w:t>
            </w:r>
          </w:p>
          <w:p>
            <w:pPr>
              <w:pStyle w:val="11"/>
              <w:spacing w:before="31" w:line="364" w:lineRule="auto"/>
              <w:ind w:left="115" w:right="175" w:firstLine="422"/>
            </w:pPr>
            <w:r>
              <w:rPr>
                <w:spacing w:val="9"/>
              </w:rPr>
              <w:t>3.加工过程、方法应符合加工规范（加工标准、存储温度</w:t>
            </w:r>
            <w:r>
              <w:rPr>
                <w:spacing w:val="-1"/>
              </w:rPr>
              <w:t>等）。</w:t>
            </w:r>
          </w:p>
          <w:p>
            <w:pPr>
              <w:pStyle w:val="11"/>
              <w:spacing w:before="29" w:line="362" w:lineRule="auto"/>
              <w:ind w:left="117" w:right="175" w:firstLine="415"/>
            </w:pPr>
            <w:r>
              <w:rPr>
                <w:spacing w:val="9"/>
              </w:rPr>
              <w:t>4.正确解冻，解冻温度、时间、方法应符合要求（不允</w:t>
            </w:r>
            <w:r>
              <w:rPr>
                <w:spacing w:val="4"/>
              </w:rPr>
              <w:t xml:space="preserve"> </w:t>
            </w:r>
            <w:r>
              <w:rPr>
                <w:spacing w:val="5"/>
              </w:rPr>
              <w:t>二次解冻/冷冻）。</w:t>
            </w:r>
          </w:p>
          <w:p>
            <w:pPr>
              <w:pStyle w:val="11"/>
              <w:spacing w:before="31" w:line="368" w:lineRule="auto"/>
              <w:ind w:left="113" w:right="173" w:firstLine="424"/>
            </w:pPr>
            <w:r>
              <w:rPr>
                <w:spacing w:val="9"/>
              </w:rPr>
              <w:t>5.食材应在指定区域加工及存放，加工区独立，成品和待加工原料分开存放，食材、原料、半成品离地隔墙存放。原辅料应分类存放，生熟分开，散装鸡蛋与其他原辅料分开存放。</w:t>
            </w:r>
          </w:p>
          <w:p>
            <w:pPr>
              <w:pStyle w:val="11"/>
              <w:spacing w:before="30" w:line="362" w:lineRule="auto"/>
              <w:ind w:left="113" w:right="49" w:firstLine="421"/>
            </w:pPr>
            <w:r>
              <w:rPr>
                <w:spacing w:val="6"/>
              </w:rPr>
              <w:t>6.食品盛器需明确区分（颜色、标识等），避免交叉污染，</w:t>
            </w:r>
            <w:r>
              <w:t xml:space="preserve"> </w:t>
            </w:r>
            <w:r>
              <w:rPr>
                <w:spacing w:val="9"/>
              </w:rPr>
              <w:t>运输工具应保持清洁，防止食品在运输过程中交叉污染。</w:t>
            </w:r>
          </w:p>
          <w:p>
            <w:pPr>
              <w:pStyle w:val="11"/>
              <w:spacing w:before="32" w:line="368" w:lineRule="auto"/>
              <w:ind w:left="114" w:right="33" w:firstLine="424"/>
            </w:pPr>
            <w:r>
              <w:rPr>
                <w:spacing w:val="6"/>
              </w:rPr>
              <w:t>7.餐厅员工在餐厅内从事任何与经营无关的活动，如吸烟、</w:t>
            </w:r>
            <w:r>
              <w:rPr>
                <w:spacing w:val="13"/>
              </w:rPr>
              <w:t xml:space="preserve"> </w:t>
            </w:r>
            <w:r>
              <w:rPr>
                <w:spacing w:val="9"/>
              </w:rPr>
              <w:t>擅自前往办公区、工作期间前往洗手间未摘掉帽子口罩、脱掉</w:t>
            </w:r>
            <w:r>
              <w:rPr>
                <w:spacing w:val="7"/>
              </w:rPr>
              <w:t xml:space="preserve">  </w:t>
            </w:r>
            <w:r>
              <w:rPr>
                <w:spacing w:val="4"/>
              </w:rPr>
              <w:t>围裙等。</w:t>
            </w:r>
          </w:p>
          <w:p>
            <w:pPr>
              <w:pStyle w:val="11"/>
              <w:spacing w:before="30" w:line="227" w:lineRule="auto"/>
              <w:ind w:left="534"/>
            </w:pPr>
            <w:r>
              <w:rPr>
                <w:spacing w:val="8"/>
              </w:rPr>
              <w:t>8.按照要求规范使用专用抹布，不得使用钢丝球。</w:t>
            </w:r>
          </w:p>
          <w:p>
            <w:pPr>
              <w:pStyle w:val="11"/>
              <w:spacing w:before="162" w:line="362" w:lineRule="auto"/>
              <w:ind w:left="116" w:right="175" w:firstLine="418"/>
            </w:pPr>
            <w:r>
              <w:rPr>
                <w:spacing w:val="9"/>
              </w:rPr>
              <w:t>9.应制定餐厅日常管理制度、专用设备操作规程、厨房设备的安全操作指南、紧急事故处理步骤，制度上</w:t>
            </w:r>
            <w:r>
              <w:rPr>
                <w:spacing w:val="8"/>
              </w:rPr>
              <w:t>墙。</w:t>
            </w:r>
          </w:p>
          <w:p>
            <w:pPr>
              <w:pStyle w:val="11"/>
              <w:spacing w:before="35" w:line="367" w:lineRule="auto"/>
              <w:ind w:left="115" w:right="103" w:firstLine="433"/>
            </w:pPr>
            <w:r>
              <w:rPr>
                <w:spacing w:val="7"/>
              </w:rPr>
              <w:t>10.设备设施应有使用标识、安全标识应完好，电气设备接</w:t>
            </w:r>
            <w:r>
              <w:rPr>
                <w:spacing w:val="9"/>
              </w:rPr>
              <w:t>头应牢固，各种电器设备在不用时或者用完后应切断电源，杜</w:t>
            </w:r>
            <w:r>
              <w:rPr>
                <w:spacing w:val="6"/>
              </w:rPr>
              <w:t>绝安全隐患。</w:t>
            </w:r>
          </w:p>
          <w:p>
            <w:pPr>
              <w:pStyle w:val="11"/>
              <w:spacing w:before="30" w:line="228" w:lineRule="auto"/>
              <w:ind w:left="543"/>
            </w:pPr>
            <w:r>
              <w:rPr>
                <w:spacing w:val="7"/>
              </w:rPr>
              <w:t>（发现违反上述规定，每项每次扣</w:t>
            </w:r>
            <w:r>
              <w:rPr>
                <w:spacing w:val="-24"/>
              </w:rPr>
              <w:t xml:space="preserve"> </w:t>
            </w:r>
            <w:r>
              <w:rPr>
                <w:spacing w:val="7"/>
              </w:rPr>
              <w:t>1</w:t>
            </w:r>
            <w:r>
              <w:rPr>
                <w:spacing w:val="-35"/>
              </w:rPr>
              <w:t xml:space="preserve"> </w:t>
            </w:r>
            <w:r>
              <w:rPr>
                <w:spacing w:val="7"/>
              </w:rPr>
              <w:t>分，扣</w:t>
            </w:r>
            <w:r>
              <w:rPr>
                <w:spacing w:val="6"/>
              </w:rPr>
              <w:t>完为止）</w:t>
            </w:r>
          </w:p>
        </w:tc>
        <w:tc>
          <w:tcPr>
            <w:tcW w:w="813" w:type="dxa"/>
            <w:noWrap w:val="0"/>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11"/>
              <w:spacing w:before="65" w:line="187" w:lineRule="auto"/>
              <w:ind w:left="311"/>
            </w:pPr>
            <w:r>
              <w:rPr>
                <w:b/>
                <w:bCs/>
                <w:spacing w:val="-3"/>
              </w:rPr>
              <w:t>5</w:t>
            </w:r>
          </w:p>
        </w:tc>
        <w:tc>
          <w:tcPr>
            <w:tcW w:w="787" w:type="dxa"/>
            <w:noWrap w:val="0"/>
            <w:vAlign w:val="top"/>
          </w:tcPr>
          <w:p>
            <w:pPr>
              <w:rPr>
                <w:rFonts w:ascii="Arial"/>
                <w:sz w:val="21"/>
              </w:rPr>
            </w:pPr>
          </w:p>
        </w:tc>
      </w:tr>
    </w:tbl>
    <w:tbl>
      <w:tblPr>
        <w:tblStyle w:val="12"/>
        <w:tblpPr w:leftFromText="180" w:rightFromText="180" w:vertAnchor="text" w:horzAnchor="page" w:tblpX="1046" w:tblpY="1480"/>
        <w:tblOverlap w:val="never"/>
        <w:tblW w:w="99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088"/>
        <w:gridCol w:w="6062"/>
        <w:gridCol w:w="825"/>
        <w:gridCol w:w="7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0" w:hRule="atLeast"/>
        </w:trPr>
        <w:tc>
          <w:tcPr>
            <w:tcW w:w="1150" w:type="dxa"/>
            <w:vMerge w:val="restart"/>
            <w:tcBorders>
              <w:bottom w:val="nil"/>
            </w:tcBorders>
            <w:noWrap w:val="0"/>
            <w:vAlign w:val="top"/>
          </w:tcPr>
          <w:p>
            <w:pPr>
              <w:rPr>
                <w:rFonts w:ascii="Arial"/>
                <w:sz w:val="21"/>
              </w:rPr>
            </w:pPr>
          </w:p>
        </w:tc>
        <w:tc>
          <w:tcPr>
            <w:tcW w:w="1088" w:type="dxa"/>
            <w:noWrap w:val="0"/>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11"/>
              <w:spacing w:before="65" w:line="362" w:lineRule="auto"/>
              <w:ind w:left="346" w:right="129" w:hanging="210"/>
            </w:pPr>
            <w:r>
              <w:rPr>
                <w:b/>
                <w:bCs/>
                <w:spacing w:val="4"/>
              </w:rPr>
              <w:t>异物概</w:t>
            </w:r>
            <w:r>
              <w:rPr>
                <w:spacing w:val="1"/>
              </w:rPr>
              <w:t xml:space="preserve"> </w:t>
            </w:r>
            <w:r>
              <w:rPr>
                <w:b/>
                <w:bCs/>
                <w:spacing w:val="-3"/>
              </w:rPr>
              <w:t>率</w:t>
            </w:r>
          </w:p>
        </w:tc>
        <w:tc>
          <w:tcPr>
            <w:tcW w:w="6062" w:type="dxa"/>
            <w:noWrap w:val="0"/>
            <w:vAlign w:val="top"/>
          </w:tcPr>
          <w:p>
            <w:pPr>
              <w:pStyle w:val="11"/>
              <w:spacing w:before="37" w:line="362" w:lineRule="auto"/>
              <w:ind w:left="119" w:right="33" w:firstLine="429"/>
            </w:pPr>
            <w:r>
              <w:rPr>
                <w:spacing w:val="6"/>
              </w:rPr>
              <w:t>1.因未清洗干净而出现的异物，例如：毛发、沙粒、果蝇、</w:t>
            </w:r>
            <w:r>
              <w:rPr>
                <w:spacing w:val="2"/>
              </w:rPr>
              <w:t xml:space="preserve"> </w:t>
            </w:r>
            <w:r>
              <w:rPr>
                <w:spacing w:val="5"/>
              </w:rPr>
              <w:t>小菜虫类等，每次扣</w:t>
            </w:r>
            <w:r>
              <w:rPr>
                <w:spacing w:val="-31"/>
              </w:rPr>
              <w:t xml:space="preserve"> </w:t>
            </w:r>
            <w:r>
              <w:rPr>
                <w:spacing w:val="5"/>
              </w:rPr>
              <w:t>5</w:t>
            </w:r>
            <w:r>
              <w:rPr>
                <w:spacing w:val="-35"/>
              </w:rPr>
              <w:t xml:space="preserve"> </w:t>
            </w:r>
            <w:r>
              <w:rPr>
                <w:spacing w:val="5"/>
              </w:rPr>
              <w:t>分。</w:t>
            </w:r>
          </w:p>
          <w:p>
            <w:pPr>
              <w:pStyle w:val="11"/>
              <w:spacing w:before="33" w:line="371" w:lineRule="auto"/>
              <w:ind w:left="112" w:right="173" w:firstLine="423"/>
            </w:pPr>
            <w:r>
              <w:rPr>
                <w:spacing w:val="9"/>
              </w:rPr>
              <w:t>2.因加工过程中所产生的异物，例如：一次性手套、保鲜</w:t>
            </w:r>
            <w:r>
              <w:rPr>
                <w:spacing w:val="8"/>
              </w:rPr>
              <w:t>膜、标签纸等、指甲、</w:t>
            </w:r>
            <w:r>
              <w:rPr>
                <w:spacing w:val="-52"/>
              </w:rPr>
              <w:t xml:space="preserve"> </w:t>
            </w:r>
            <w:r>
              <w:rPr>
                <w:spacing w:val="8"/>
              </w:rPr>
              <w:t>口香糖、创可贴、烟头、玻璃</w:t>
            </w:r>
            <w:r>
              <w:rPr>
                <w:spacing w:val="7"/>
              </w:rPr>
              <w:t>、牙齿、</w:t>
            </w:r>
            <w:r>
              <w:t xml:space="preserve"> </w:t>
            </w:r>
            <w:r>
              <w:rPr>
                <w:spacing w:val="9"/>
              </w:rPr>
              <w:t>铁丝、亚克力板、等其它类异物，或者出现因未处理干净的预包装类异物，例如：皮筋、绳子、包装袋、报纸、泡沫、化肥</w:t>
            </w:r>
            <w:r>
              <w:rPr>
                <w:spacing w:val="5"/>
              </w:rPr>
              <w:t>残留物等，每次扣</w:t>
            </w:r>
            <w:r>
              <w:rPr>
                <w:spacing w:val="-31"/>
              </w:rPr>
              <w:t xml:space="preserve"> </w:t>
            </w:r>
            <w:r>
              <w:rPr>
                <w:spacing w:val="5"/>
              </w:rPr>
              <w:t>5</w:t>
            </w:r>
            <w:r>
              <w:rPr>
                <w:spacing w:val="-35"/>
              </w:rPr>
              <w:t xml:space="preserve"> </w:t>
            </w:r>
            <w:r>
              <w:rPr>
                <w:spacing w:val="5"/>
              </w:rPr>
              <w:t>分。</w:t>
            </w:r>
          </w:p>
          <w:p>
            <w:pPr>
              <w:pStyle w:val="11"/>
              <w:spacing w:before="31" w:line="362" w:lineRule="auto"/>
              <w:ind w:left="119" w:right="175" w:firstLine="418"/>
            </w:pPr>
            <w:r>
              <w:rPr>
                <w:spacing w:val="9"/>
              </w:rPr>
              <w:t>3.食品中出现蟑螂、老鼠、苍蝇、蚂蚁等恶性异物时，每</w:t>
            </w:r>
            <w:r>
              <w:rPr>
                <w:spacing w:val="-2"/>
              </w:rPr>
              <w:t>次扣</w:t>
            </w:r>
            <w:r>
              <w:rPr>
                <w:spacing w:val="-24"/>
              </w:rPr>
              <w:t xml:space="preserve"> </w:t>
            </w:r>
            <w:r>
              <w:rPr>
                <w:spacing w:val="-2"/>
              </w:rPr>
              <w:t>15</w:t>
            </w:r>
            <w:r>
              <w:rPr>
                <w:spacing w:val="-36"/>
              </w:rPr>
              <w:t xml:space="preserve"> </w:t>
            </w:r>
            <w:r>
              <w:rPr>
                <w:spacing w:val="-2"/>
              </w:rPr>
              <w:t>分。</w:t>
            </w:r>
          </w:p>
          <w:p>
            <w:pPr>
              <w:pStyle w:val="11"/>
              <w:spacing w:before="30" w:line="366" w:lineRule="auto"/>
              <w:ind w:left="115" w:right="103" w:firstLine="421"/>
              <w:jc w:val="both"/>
            </w:pPr>
            <w:r>
              <w:rPr>
                <w:spacing w:val="9"/>
              </w:rPr>
              <w:t>如</w:t>
            </w:r>
            <w:r>
              <w:rPr>
                <w:rFonts w:hint="eastAsia"/>
                <w:spacing w:val="9"/>
                <w:lang w:eastAsia="zh-CN"/>
              </w:rPr>
              <w:t>累计三次</w:t>
            </w:r>
            <w:r>
              <w:rPr>
                <w:spacing w:val="9"/>
              </w:rPr>
              <w:t>发生上述情况，</w:t>
            </w:r>
            <w:r>
              <w:rPr>
                <w:rFonts w:hint="eastAsia"/>
                <w:spacing w:val="9"/>
                <w:lang w:eastAsia="zh-CN"/>
              </w:rPr>
              <w:t>招标人</w:t>
            </w:r>
            <w:r>
              <w:rPr>
                <w:spacing w:val="9"/>
              </w:rPr>
              <w:t>将视为服务团队无法保障食</w:t>
            </w:r>
            <w:r>
              <w:rPr>
                <w:spacing w:val="5"/>
              </w:rPr>
              <w:t>品卫生安全问题，有权直接扣罚当月服务费的</w:t>
            </w:r>
            <w:r>
              <w:rPr>
                <w:spacing w:val="-18"/>
              </w:rPr>
              <w:t xml:space="preserve"> </w:t>
            </w:r>
            <w:r>
              <w:rPr>
                <w:spacing w:val="5"/>
              </w:rPr>
              <w:t>10%，如造成严重</w:t>
            </w:r>
            <w:r>
              <w:rPr>
                <w:spacing w:val="8"/>
              </w:rPr>
              <w:t>后果，</w:t>
            </w:r>
            <w:r>
              <w:rPr>
                <w:rFonts w:hint="eastAsia"/>
                <w:spacing w:val="8"/>
                <w:lang w:eastAsia="zh-CN"/>
              </w:rPr>
              <w:t>招标人</w:t>
            </w:r>
            <w:r>
              <w:rPr>
                <w:spacing w:val="8"/>
              </w:rPr>
              <w:t>有权单方解除合同。</w:t>
            </w:r>
          </w:p>
        </w:tc>
        <w:tc>
          <w:tcPr>
            <w:tcW w:w="825" w:type="dxa"/>
            <w:noWrap w:val="0"/>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11"/>
              <w:spacing w:before="65" w:line="190" w:lineRule="auto"/>
              <w:ind w:left="269"/>
            </w:pPr>
            <w:r>
              <w:rPr>
                <w:b/>
                <w:bCs/>
                <w:spacing w:val="-8"/>
              </w:rPr>
              <w:t>15</w:t>
            </w:r>
          </w:p>
        </w:tc>
        <w:tc>
          <w:tcPr>
            <w:tcW w:w="788"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1150" w:type="dxa"/>
            <w:vMerge w:val="continue"/>
            <w:tcBorders>
              <w:top w:val="nil"/>
              <w:bottom w:val="nil"/>
            </w:tcBorders>
            <w:noWrap w:val="0"/>
            <w:vAlign w:val="top"/>
          </w:tcPr>
          <w:p>
            <w:pPr>
              <w:rPr>
                <w:rFonts w:ascii="Arial"/>
                <w:sz w:val="21"/>
              </w:rPr>
            </w:pPr>
          </w:p>
        </w:tc>
        <w:tc>
          <w:tcPr>
            <w:tcW w:w="1088" w:type="dxa"/>
            <w:noWrap w:val="0"/>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11"/>
              <w:spacing w:before="65" w:line="367" w:lineRule="auto"/>
              <w:ind w:left="345" w:right="129" w:hanging="212"/>
            </w:pPr>
            <w:r>
              <w:rPr>
                <w:b/>
                <w:bCs/>
                <w:spacing w:val="5"/>
              </w:rPr>
              <w:t>环境卫</w:t>
            </w:r>
            <w:r>
              <w:t xml:space="preserve"> </w:t>
            </w:r>
            <w:r>
              <w:rPr>
                <w:b/>
                <w:bCs/>
                <w:spacing w:val="-3"/>
              </w:rPr>
              <w:t>生</w:t>
            </w:r>
          </w:p>
        </w:tc>
        <w:tc>
          <w:tcPr>
            <w:tcW w:w="6062" w:type="dxa"/>
            <w:noWrap w:val="0"/>
            <w:vAlign w:val="top"/>
          </w:tcPr>
          <w:p>
            <w:pPr>
              <w:pStyle w:val="11"/>
              <w:spacing w:before="32" w:line="362" w:lineRule="auto"/>
              <w:ind w:left="116" w:right="175" w:firstLine="432"/>
            </w:pPr>
            <w:r>
              <w:rPr>
                <w:spacing w:val="8"/>
              </w:rPr>
              <w:t>1.操作过程中不得将地漏盖移位或者残渣堆滞现象，应保持下水道畅通，以防出现下水道堵塞现象。</w:t>
            </w:r>
          </w:p>
          <w:p>
            <w:pPr>
              <w:pStyle w:val="11"/>
              <w:spacing w:before="35" w:line="367" w:lineRule="auto"/>
              <w:ind w:left="113" w:right="173" w:firstLine="422"/>
            </w:pPr>
            <w:r>
              <w:rPr>
                <w:spacing w:val="9"/>
              </w:rPr>
              <w:t>2.应保持环境清洁，整体卫生良好，门、窗户、照明、墙壁、天花板、操作台、刀具、砧板等设备应保持清洁，并符合</w:t>
            </w:r>
            <w:r>
              <w:rPr>
                <w:spacing w:val="5"/>
              </w:rPr>
              <w:t>卫生要求。</w:t>
            </w:r>
          </w:p>
          <w:p>
            <w:pPr>
              <w:pStyle w:val="11"/>
              <w:spacing w:before="30" w:line="227" w:lineRule="auto"/>
              <w:ind w:left="537"/>
            </w:pPr>
            <w:r>
              <w:rPr>
                <w:spacing w:val="8"/>
              </w:rPr>
              <w:t>3.垃圾箱加盖，并采用免手动盖子，定时转移餐厨垃圾。</w:t>
            </w:r>
          </w:p>
          <w:p>
            <w:pPr>
              <w:pStyle w:val="11"/>
              <w:spacing w:before="164" w:line="362" w:lineRule="auto"/>
              <w:ind w:left="118" w:right="175" w:firstLine="414"/>
            </w:pPr>
            <w:r>
              <w:rPr>
                <w:spacing w:val="9"/>
              </w:rPr>
              <w:t>4.废弃物设施应经常清洁消毒，清洁工具如扫把拖把能正</w:t>
            </w:r>
            <w:r>
              <w:rPr>
                <w:spacing w:val="5"/>
              </w:rPr>
              <w:t>常使用</w:t>
            </w:r>
          </w:p>
          <w:p>
            <w:pPr>
              <w:pStyle w:val="11"/>
              <w:spacing w:before="31" w:line="362" w:lineRule="auto"/>
              <w:ind w:left="118" w:right="175" w:firstLine="419"/>
            </w:pPr>
            <w:r>
              <w:rPr>
                <w:spacing w:val="9"/>
              </w:rPr>
              <w:t>5.建筑物、设备、用具、以及所有机构设施，包括排水系统，保持在适当的维护状态和条件下，符合所有卫生程序。</w:t>
            </w:r>
          </w:p>
          <w:p>
            <w:pPr>
              <w:pStyle w:val="11"/>
              <w:spacing w:before="32" w:line="228" w:lineRule="auto"/>
              <w:ind w:left="535"/>
            </w:pPr>
            <w:r>
              <w:rPr>
                <w:spacing w:val="7"/>
              </w:rPr>
              <w:t>6.展售食品标签正常、正确标识。</w:t>
            </w:r>
          </w:p>
          <w:p>
            <w:pPr>
              <w:pStyle w:val="11"/>
              <w:spacing w:before="160" w:line="228" w:lineRule="auto"/>
              <w:ind w:left="543"/>
            </w:pPr>
            <w:r>
              <w:rPr>
                <w:spacing w:val="7"/>
              </w:rPr>
              <w:t>（发现违反上述规定，每项每次扣</w:t>
            </w:r>
            <w:r>
              <w:rPr>
                <w:spacing w:val="-24"/>
              </w:rPr>
              <w:t xml:space="preserve"> </w:t>
            </w:r>
            <w:r>
              <w:rPr>
                <w:spacing w:val="7"/>
              </w:rPr>
              <w:t>1</w:t>
            </w:r>
            <w:r>
              <w:rPr>
                <w:spacing w:val="-35"/>
              </w:rPr>
              <w:t xml:space="preserve"> </w:t>
            </w:r>
            <w:r>
              <w:rPr>
                <w:spacing w:val="7"/>
              </w:rPr>
              <w:t>分，扣</w:t>
            </w:r>
            <w:r>
              <w:rPr>
                <w:spacing w:val="6"/>
              </w:rPr>
              <w:t>完为止）</w:t>
            </w:r>
          </w:p>
        </w:tc>
        <w:tc>
          <w:tcPr>
            <w:tcW w:w="825" w:type="dxa"/>
            <w:noWrap w:val="0"/>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11"/>
              <w:spacing w:before="65" w:line="187" w:lineRule="auto"/>
              <w:ind w:left="311"/>
            </w:pPr>
            <w:r>
              <w:rPr>
                <w:b/>
                <w:bCs/>
                <w:spacing w:val="-3"/>
              </w:rPr>
              <w:t>5</w:t>
            </w:r>
          </w:p>
        </w:tc>
        <w:tc>
          <w:tcPr>
            <w:tcW w:w="788"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2" w:hRule="atLeast"/>
        </w:trPr>
        <w:tc>
          <w:tcPr>
            <w:tcW w:w="1150" w:type="dxa"/>
            <w:vMerge w:val="continue"/>
            <w:tcBorders>
              <w:top w:val="nil"/>
            </w:tcBorders>
            <w:noWrap w:val="0"/>
            <w:vAlign w:val="top"/>
          </w:tcPr>
          <w:p>
            <w:pPr>
              <w:rPr>
                <w:rFonts w:ascii="Arial"/>
                <w:sz w:val="21"/>
              </w:rPr>
            </w:pPr>
          </w:p>
        </w:tc>
        <w:tc>
          <w:tcPr>
            <w:tcW w:w="1088" w:type="dxa"/>
            <w:noWrap w:val="0"/>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11"/>
              <w:spacing w:before="65" w:line="363" w:lineRule="auto"/>
              <w:ind w:left="343" w:right="129" w:hanging="197"/>
            </w:pPr>
            <w:r>
              <w:rPr>
                <w:b/>
                <w:bCs/>
                <w:spacing w:val="1"/>
              </w:rPr>
              <w:t>防范措</w:t>
            </w:r>
            <w:r>
              <w:t xml:space="preserve"> </w:t>
            </w:r>
            <w:r>
              <w:rPr>
                <w:b/>
                <w:bCs/>
                <w:spacing w:val="-1"/>
              </w:rPr>
              <w:t>施</w:t>
            </w:r>
          </w:p>
        </w:tc>
        <w:tc>
          <w:tcPr>
            <w:tcW w:w="6062" w:type="dxa"/>
            <w:noWrap w:val="0"/>
            <w:vAlign w:val="top"/>
          </w:tcPr>
          <w:p>
            <w:pPr>
              <w:pStyle w:val="11"/>
              <w:spacing w:before="34" w:line="367" w:lineRule="auto"/>
              <w:ind w:left="112" w:right="33" w:firstLine="436"/>
              <w:jc w:val="both"/>
            </w:pPr>
            <w:r>
              <w:rPr>
                <w:spacing w:val="8"/>
              </w:rPr>
              <w:t>1.每日严格执行晨检制度，有发热、腹泻、皮肤伤口当有</w:t>
            </w:r>
            <w:r>
              <w:rPr>
                <w:spacing w:val="6"/>
              </w:rPr>
              <w:t xml:space="preserve">  </w:t>
            </w:r>
            <w:r>
              <w:rPr>
                <w:spacing w:val="9"/>
              </w:rPr>
              <w:t>碍食品安全病症的人员，应立即离开岗位，治愈后方可重新上</w:t>
            </w:r>
            <w:r>
              <w:rPr>
                <w:spacing w:val="8"/>
              </w:rPr>
              <w:t xml:space="preserve">  </w:t>
            </w:r>
            <w:r>
              <w:rPr>
                <w:spacing w:val="7"/>
              </w:rPr>
              <w:t>岗，餐厅工作人员具备符合要求的健康证：健康证在有效期内。</w:t>
            </w:r>
          </w:p>
          <w:p>
            <w:pPr>
              <w:pStyle w:val="11"/>
              <w:spacing w:before="30" w:line="370" w:lineRule="auto"/>
              <w:ind w:left="113" w:right="384" w:firstLine="422"/>
            </w:pPr>
            <w:r>
              <w:rPr>
                <w:spacing w:val="9"/>
              </w:rPr>
              <w:t>2.入职一个星期包括一个星期的员工必须有有效的健康</w:t>
            </w:r>
            <w:r>
              <w:t>证。</w:t>
            </w:r>
          </w:p>
          <w:p>
            <w:pPr>
              <w:pStyle w:val="11"/>
              <w:spacing w:before="17" w:line="367" w:lineRule="auto"/>
              <w:ind w:left="113" w:right="173" w:firstLine="424"/>
              <w:jc w:val="both"/>
            </w:pPr>
            <w:r>
              <w:rPr>
                <w:spacing w:val="9"/>
              </w:rPr>
              <w:t>3.工作人员仪容仪表符合要求，衣着干净、齐全、佩带正确（帽子、发网、围裙等</w:t>
            </w:r>
            <w:r>
              <w:rPr>
                <w:spacing w:val="18"/>
              </w:rPr>
              <w:t>），</w:t>
            </w:r>
            <w:r>
              <w:rPr>
                <w:spacing w:val="9"/>
              </w:rPr>
              <w:t>员工佩戴口罩符合要求，在</w:t>
            </w:r>
            <w:r>
              <w:rPr>
                <w:spacing w:val="8"/>
              </w:rPr>
              <w:t>食品</w:t>
            </w:r>
            <w:r>
              <w:rPr>
                <w:spacing w:val="9"/>
              </w:rPr>
              <w:t>加工区域禁止佩戴首饰（戒指、耳环、垂饰</w:t>
            </w:r>
            <w:r>
              <w:rPr>
                <w:spacing w:val="8"/>
              </w:rPr>
              <w:t>、手表等）。</w:t>
            </w:r>
          </w:p>
          <w:p>
            <w:pPr>
              <w:pStyle w:val="11"/>
              <w:spacing w:before="34" w:line="359" w:lineRule="auto"/>
              <w:ind w:left="114" w:right="173" w:firstLine="418"/>
            </w:pPr>
            <w:r>
              <w:rPr>
                <w:spacing w:val="9"/>
              </w:rPr>
              <w:t>4.男工作人员头发的长度前面不超过眉毛、侧面不超过耳垂、后面不超过衣领。女工作人员长发应扎起，且头发</w:t>
            </w:r>
          </w:p>
        </w:tc>
        <w:tc>
          <w:tcPr>
            <w:tcW w:w="825" w:type="dxa"/>
            <w:noWrap w:val="0"/>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11"/>
              <w:spacing w:before="65" w:line="187" w:lineRule="auto"/>
              <w:ind w:left="311"/>
            </w:pPr>
            <w:r>
              <w:rPr>
                <w:b/>
                <w:bCs/>
                <w:spacing w:val="-3"/>
              </w:rPr>
              <w:t>5</w:t>
            </w:r>
          </w:p>
        </w:tc>
        <w:tc>
          <w:tcPr>
            <w:tcW w:w="788" w:type="dxa"/>
            <w:noWrap w:val="0"/>
            <w:vAlign w:val="top"/>
          </w:tcPr>
          <w:p>
            <w:pPr>
              <w:rPr>
                <w:rFonts w:ascii="Arial"/>
                <w:sz w:val="21"/>
              </w:rPr>
            </w:pPr>
          </w:p>
        </w:tc>
      </w:tr>
    </w:tbl>
    <w:tbl>
      <w:tblPr>
        <w:tblStyle w:val="12"/>
        <w:tblpPr w:leftFromText="180" w:rightFromText="180" w:vertAnchor="text" w:horzAnchor="page" w:tblpX="1046" w:tblpY="4929"/>
        <w:tblOverlap w:val="never"/>
        <w:tblW w:w="99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063"/>
        <w:gridCol w:w="6125"/>
        <w:gridCol w:w="787"/>
        <w:gridCol w:w="7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150" w:type="dxa"/>
            <w:noWrap w:val="0"/>
            <w:vAlign w:val="top"/>
          </w:tcPr>
          <w:p>
            <w:pPr>
              <w:rPr>
                <w:rFonts w:ascii="Arial"/>
                <w:sz w:val="21"/>
              </w:rPr>
            </w:pPr>
          </w:p>
        </w:tc>
        <w:tc>
          <w:tcPr>
            <w:tcW w:w="1063" w:type="dxa"/>
            <w:noWrap w:val="0"/>
            <w:vAlign w:val="top"/>
          </w:tcPr>
          <w:p>
            <w:pPr>
              <w:rPr>
                <w:rFonts w:ascii="Arial"/>
                <w:sz w:val="21"/>
              </w:rPr>
            </w:pPr>
          </w:p>
        </w:tc>
        <w:tc>
          <w:tcPr>
            <w:tcW w:w="6125" w:type="dxa"/>
            <w:noWrap w:val="0"/>
            <w:vAlign w:val="top"/>
          </w:tcPr>
          <w:p>
            <w:pPr>
              <w:pStyle w:val="11"/>
              <w:spacing w:before="37" w:line="227" w:lineRule="auto"/>
              <w:ind w:left="113"/>
            </w:pPr>
            <w:r>
              <w:rPr>
                <w:spacing w:val="9"/>
              </w:rPr>
              <w:t>应全部</w:t>
            </w:r>
            <w:r>
              <w:rPr>
                <w:spacing w:val="7"/>
              </w:rPr>
              <w:t>放置工作帽中。</w:t>
            </w:r>
          </w:p>
          <w:p>
            <w:pPr>
              <w:pStyle w:val="11"/>
              <w:spacing w:before="162" w:line="362" w:lineRule="auto"/>
              <w:ind w:left="115" w:right="175" w:firstLine="422"/>
            </w:pPr>
            <w:r>
              <w:rPr>
                <w:spacing w:val="9"/>
              </w:rPr>
              <w:t>5.餐厅工作人员有无蓄留指甲、涂指甲油或者戴假指甲等</w:t>
            </w:r>
            <w:r>
              <w:rPr>
                <w:spacing w:val="3"/>
              </w:rPr>
              <w:t>现象</w:t>
            </w:r>
          </w:p>
          <w:p>
            <w:pPr>
              <w:pStyle w:val="11"/>
              <w:spacing w:before="31" w:line="228" w:lineRule="auto"/>
              <w:ind w:left="535"/>
            </w:pPr>
            <w:r>
              <w:rPr>
                <w:spacing w:val="8"/>
              </w:rPr>
              <w:t>6.在食品区域内张贴员工个人规范示意图。</w:t>
            </w:r>
          </w:p>
          <w:p>
            <w:pPr>
              <w:pStyle w:val="11"/>
              <w:spacing w:before="160" w:line="362" w:lineRule="auto"/>
              <w:ind w:left="122" w:right="175" w:firstLine="416"/>
            </w:pPr>
            <w:r>
              <w:rPr>
                <w:spacing w:val="9"/>
              </w:rPr>
              <w:t>7.专间操作人员进入专间时应再次更换专间内专用工</w:t>
            </w:r>
            <w:r>
              <w:rPr>
                <w:spacing w:val="8"/>
              </w:rPr>
              <w:t>作衣帽并佩戴口罩，每次使用前后，紫外线开启至少</w:t>
            </w:r>
            <w:r>
              <w:rPr>
                <w:spacing w:val="-25"/>
              </w:rPr>
              <w:t xml:space="preserve"> </w:t>
            </w:r>
            <w:r>
              <w:rPr>
                <w:spacing w:val="8"/>
              </w:rPr>
              <w:t>30</w:t>
            </w:r>
            <w:r>
              <w:t>min</w:t>
            </w:r>
            <w:r>
              <w:rPr>
                <w:spacing w:val="8"/>
              </w:rPr>
              <w:t>。</w:t>
            </w:r>
          </w:p>
          <w:p>
            <w:pPr>
              <w:pStyle w:val="11"/>
              <w:spacing w:before="34" w:line="362" w:lineRule="auto"/>
              <w:ind w:left="117" w:right="175" w:firstLine="417"/>
            </w:pPr>
            <w:r>
              <w:rPr>
                <w:spacing w:val="9"/>
              </w:rPr>
              <w:t>8.应在指定区域进食、喝水、嚼口香糖和吸烟，厨房及相</w:t>
            </w:r>
            <w:r>
              <w:rPr>
                <w:spacing w:val="8"/>
              </w:rPr>
              <w:t>关区域不得存放私人物品，如水杯，药片等。</w:t>
            </w:r>
          </w:p>
          <w:p>
            <w:pPr>
              <w:pStyle w:val="11"/>
              <w:spacing w:before="32" w:line="362" w:lineRule="auto"/>
              <w:ind w:left="113" w:right="175" w:firstLine="420"/>
            </w:pPr>
            <w:r>
              <w:rPr>
                <w:spacing w:val="9"/>
              </w:rPr>
              <w:t>9.非食品工作人员进入工作区域，应按上述要求穿着工作</w:t>
            </w:r>
            <w:r>
              <w:rPr>
                <w:spacing w:val="7"/>
              </w:rPr>
              <w:t>服、发网及鞋套等。</w:t>
            </w:r>
          </w:p>
          <w:p>
            <w:pPr>
              <w:pStyle w:val="11"/>
              <w:spacing w:before="34" w:line="362" w:lineRule="auto"/>
              <w:ind w:left="113" w:right="103" w:firstLine="435"/>
            </w:pPr>
            <w:r>
              <w:rPr>
                <w:spacing w:val="7"/>
              </w:rPr>
              <w:t>10.应有充足的洗手液、纸巾及干手设施，并张贴正确的洗</w:t>
            </w:r>
            <w:r>
              <w:rPr>
                <w:spacing w:val="5"/>
              </w:rPr>
              <w:t>手程序。</w:t>
            </w:r>
          </w:p>
          <w:p>
            <w:pPr>
              <w:pStyle w:val="11"/>
              <w:spacing w:before="31" w:line="370" w:lineRule="auto"/>
              <w:ind w:left="115" w:right="121" w:firstLine="433"/>
              <w:jc w:val="both"/>
            </w:pPr>
            <w:r>
              <w:rPr>
                <w:spacing w:val="6"/>
              </w:rPr>
              <w:t>11.餐厅应指定虫害控制管理人员，负责与虫害控制活动，</w:t>
            </w:r>
            <w:r>
              <w:rPr>
                <w:spacing w:val="14"/>
              </w:rPr>
              <w:t xml:space="preserve"> </w:t>
            </w:r>
            <w:r>
              <w:rPr>
                <w:spacing w:val="9"/>
              </w:rPr>
              <w:t>或者与虫害控制外包方协调虫害控制活动。鼠笼、粘鼠板、灭</w:t>
            </w:r>
            <w:r>
              <w:rPr>
                <w:spacing w:val="8"/>
              </w:rPr>
              <w:t>蝇灯应定期检查，</w:t>
            </w:r>
            <w:r>
              <w:rPr>
                <w:spacing w:val="-59"/>
              </w:rPr>
              <w:t xml:space="preserve"> </w:t>
            </w:r>
            <w:r>
              <w:rPr>
                <w:spacing w:val="8"/>
              </w:rPr>
              <w:t>以确定虫害活动的新迹象，定期分析对虫害</w:t>
            </w:r>
            <w:r>
              <w:rPr>
                <w:spacing w:val="6"/>
              </w:rPr>
              <w:t>活动的趋势。</w:t>
            </w:r>
          </w:p>
          <w:p>
            <w:pPr>
              <w:pStyle w:val="11"/>
              <w:spacing w:before="31" w:line="362" w:lineRule="auto"/>
              <w:ind w:left="112" w:right="106" w:firstLine="436"/>
            </w:pPr>
            <w:r>
              <w:rPr>
                <w:spacing w:val="7"/>
              </w:rPr>
              <w:t>12.应有明确区分盛放化学品与食品的容器，且应独立分割</w:t>
            </w:r>
            <w:r>
              <w:rPr>
                <w:spacing w:val="8"/>
              </w:rPr>
              <w:t>存放，不得交叉存放、同区域存放、混放。</w:t>
            </w:r>
          </w:p>
          <w:p>
            <w:pPr>
              <w:pStyle w:val="11"/>
              <w:spacing w:before="31" w:line="228" w:lineRule="auto"/>
              <w:ind w:left="543"/>
            </w:pPr>
            <w:r>
              <w:rPr>
                <w:spacing w:val="7"/>
              </w:rPr>
              <w:t>（发现违反上述规定，每项每次扣</w:t>
            </w:r>
            <w:r>
              <w:rPr>
                <w:spacing w:val="-24"/>
              </w:rPr>
              <w:t xml:space="preserve"> </w:t>
            </w:r>
            <w:r>
              <w:rPr>
                <w:spacing w:val="7"/>
              </w:rPr>
              <w:t>1</w:t>
            </w:r>
            <w:r>
              <w:rPr>
                <w:spacing w:val="-35"/>
              </w:rPr>
              <w:t xml:space="preserve"> </w:t>
            </w:r>
            <w:r>
              <w:rPr>
                <w:spacing w:val="7"/>
              </w:rPr>
              <w:t>分，扣</w:t>
            </w:r>
            <w:r>
              <w:rPr>
                <w:spacing w:val="6"/>
              </w:rPr>
              <w:t>完为止）</w:t>
            </w:r>
          </w:p>
        </w:tc>
        <w:tc>
          <w:tcPr>
            <w:tcW w:w="787" w:type="dxa"/>
            <w:noWrap w:val="0"/>
            <w:vAlign w:val="top"/>
          </w:tcPr>
          <w:p>
            <w:pPr>
              <w:rPr>
                <w:rFonts w:ascii="Arial"/>
                <w:sz w:val="21"/>
              </w:rPr>
            </w:pPr>
          </w:p>
        </w:tc>
        <w:tc>
          <w:tcPr>
            <w:tcW w:w="788"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11" w:hRule="atLeast"/>
        </w:trPr>
        <w:tc>
          <w:tcPr>
            <w:tcW w:w="1150" w:type="dxa"/>
            <w:noWrap w:val="0"/>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11"/>
              <w:spacing w:before="65" w:line="228" w:lineRule="auto"/>
              <w:ind w:left="208"/>
            </w:pPr>
            <w:r>
              <w:rPr>
                <w:b/>
                <w:bCs/>
                <w:spacing w:val="5"/>
              </w:rPr>
              <w:t>质量标</w:t>
            </w:r>
          </w:p>
          <w:p>
            <w:pPr>
              <w:pStyle w:val="11"/>
              <w:spacing w:before="159" w:line="365" w:lineRule="auto"/>
              <w:ind w:left="312" w:right="199" w:hanging="106"/>
            </w:pPr>
            <w:r>
              <w:rPr>
                <w:b/>
                <w:bCs/>
                <w:spacing w:val="3"/>
              </w:rPr>
              <w:t>准（25</w:t>
            </w:r>
            <w:r>
              <w:rPr>
                <w:spacing w:val="1"/>
              </w:rPr>
              <w:t xml:space="preserve"> </w:t>
            </w:r>
            <w:r>
              <w:rPr>
                <w:b/>
                <w:bCs/>
                <w:spacing w:val="-3"/>
              </w:rPr>
              <w:t>分）</w:t>
            </w:r>
          </w:p>
        </w:tc>
        <w:tc>
          <w:tcPr>
            <w:tcW w:w="1063" w:type="dxa"/>
            <w:noWrap w:val="0"/>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11"/>
              <w:spacing w:before="65" w:line="365" w:lineRule="auto"/>
              <w:ind w:left="344" w:right="129" w:hanging="193"/>
            </w:pPr>
            <w:r>
              <w:rPr>
                <w:b/>
                <w:bCs/>
                <w:spacing w:val="-1"/>
              </w:rPr>
              <w:t>出品质</w:t>
            </w:r>
            <w:r>
              <w:t xml:space="preserve"> </w:t>
            </w:r>
            <w:r>
              <w:rPr>
                <w:b/>
                <w:bCs/>
                <w:spacing w:val="-2"/>
              </w:rPr>
              <w:t>量</w:t>
            </w:r>
          </w:p>
        </w:tc>
        <w:tc>
          <w:tcPr>
            <w:tcW w:w="6125" w:type="dxa"/>
            <w:noWrap w:val="0"/>
            <w:vAlign w:val="top"/>
          </w:tcPr>
          <w:p>
            <w:pPr>
              <w:pStyle w:val="11"/>
              <w:numPr>
                <w:ilvl w:val="0"/>
                <w:numId w:val="3"/>
              </w:numPr>
              <w:spacing w:before="33" w:line="367" w:lineRule="auto"/>
              <w:ind w:left="536" w:right="210" w:firstLine="12"/>
              <w:jc w:val="both"/>
              <w:rPr>
                <w:spacing w:val="4"/>
              </w:rPr>
            </w:pPr>
            <w:r>
              <w:rPr>
                <w:spacing w:val="4"/>
              </w:rPr>
              <w:t>早餐、中餐、晚餐菜式每少</w:t>
            </w:r>
            <w:r>
              <w:rPr>
                <w:spacing w:val="-9"/>
              </w:rPr>
              <w:t xml:space="preserve"> </w:t>
            </w:r>
            <w:r>
              <w:rPr>
                <w:spacing w:val="4"/>
              </w:rPr>
              <w:t>1</w:t>
            </w:r>
            <w:r>
              <w:rPr>
                <w:spacing w:val="-37"/>
              </w:rPr>
              <w:t xml:space="preserve"> </w:t>
            </w:r>
            <w:r>
              <w:rPr>
                <w:spacing w:val="4"/>
              </w:rPr>
              <w:t>款，每次每款扣</w:t>
            </w:r>
            <w:r>
              <w:rPr>
                <w:spacing w:val="-37"/>
              </w:rPr>
              <w:t xml:space="preserve"> </w:t>
            </w:r>
            <w:r>
              <w:rPr>
                <w:spacing w:val="4"/>
              </w:rPr>
              <w:t>0.5</w:t>
            </w:r>
            <w:r>
              <w:rPr>
                <w:spacing w:val="-38"/>
              </w:rPr>
              <w:t xml:space="preserve"> </w:t>
            </w:r>
            <w:r>
              <w:rPr>
                <w:spacing w:val="4"/>
              </w:rPr>
              <w:t>分。</w:t>
            </w:r>
          </w:p>
          <w:p>
            <w:pPr>
              <w:pStyle w:val="11"/>
              <w:numPr>
                <w:ilvl w:val="0"/>
                <w:numId w:val="0"/>
              </w:numPr>
              <w:spacing w:before="33" w:line="367" w:lineRule="auto"/>
              <w:ind w:left="548" w:leftChars="0" w:right="210" w:rightChars="0"/>
              <w:jc w:val="both"/>
            </w:pPr>
            <w:r>
              <w:rPr>
                <w:spacing w:val="7"/>
              </w:rPr>
              <w:t>2.厨师长应每月推出4</w:t>
            </w:r>
            <w:r>
              <w:rPr>
                <w:spacing w:val="-23"/>
              </w:rPr>
              <w:t xml:space="preserve"> </w:t>
            </w:r>
            <w:r>
              <w:rPr>
                <w:spacing w:val="7"/>
              </w:rPr>
              <w:t>款以上新菜式，每少一款扣</w:t>
            </w:r>
            <w:r>
              <w:rPr>
                <w:spacing w:val="-24"/>
              </w:rPr>
              <w:t xml:space="preserve"> </w:t>
            </w:r>
            <w:r>
              <w:rPr>
                <w:spacing w:val="7"/>
              </w:rPr>
              <w:t>1</w:t>
            </w:r>
            <w:r>
              <w:rPr>
                <w:spacing w:val="-35"/>
              </w:rPr>
              <w:t xml:space="preserve"> </w:t>
            </w:r>
            <w:r>
              <w:rPr>
                <w:spacing w:val="7"/>
              </w:rPr>
              <w:t>分。</w:t>
            </w:r>
            <w:r>
              <w:t xml:space="preserve"> </w:t>
            </w:r>
            <w:r>
              <w:rPr>
                <w:spacing w:val="5"/>
              </w:rPr>
              <w:t>3.点心主管每月推出</w:t>
            </w:r>
            <w:r>
              <w:rPr>
                <w:spacing w:val="-34"/>
              </w:rPr>
              <w:t xml:space="preserve"> </w:t>
            </w:r>
            <w:r>
              <w:rPr>
                <w:spacing w:val="5"/>
              </w:rPr>
              <w:t>2</w:t>
            </w:r>
            <w:r>
              <w:rPr>
                <w:spacing w:val="-37"/>
              </w:rPr>
              <w:t xml:space="preserve"> </w:t>
            </w:r>
            <w:r>
              <w:rPr>
                <w:spacing w:val="5"/>
              </w:rPr>
              <w:t>款以上新面点，每少一款扣</w:t>
            </w:r>
            <w:r>
              <w:rPr>
                <w:spacing w:val="-24"/>
              </w:rPr>
              <w:t xml:space="preserve"> </w:t>
            </w:r>
            <w:r>
              <w:rPr>
                <w:spacing w:val="5"/>
              </w:rPr>
              <w:t>1</w:t>
            </w:r>
            <w:r>
              <w:rPr>
                <w:spacing w:val="-35"/>
              </w:rPr>
              <w:t xml:space="preserve"> </w:t>
            </w:r>
            <w:r>
              <w:rPr>
                <w:spacing w:val="5"/>
              </w:rPr>
              <w:t>分。</w:t>
            </w:r>
          </w:p>
          <w:p>
            <w:pPr>
              <w:pStyle w:val="11"/>
              <w:spacing w:before="30" w:line="362" w:lineRule="auto"/>
              <w:ind w:left="134" w:right="175" w:firstLine="398"/>
            </w:pPr>
            <w:r>
              <w:rPr>
                <w:spacing w:val="9"/>
              </w:rPr>
              <w:t>4.新菜式应提前一周做出样品给</w:t>
            </w:r>
            <w:r>
              <w:rPr>
                <w:rFonts w:hint="eastAsia"/>
                <w:spacing w:val="9"/>
                <w:lang w:eastAsia="zh-CN"/>
              </w:rPr>
              <w:t>招标人</w:t>
            </w:r>
            <w:r>
              <w:rPr>
                <w:spacing w:val="9"/>
              </w:rPr>
              <w:t>试尝，并经</w:t>
            </w:r>
            <w:r>
              <w:rPr>
                <w:rFonts w:hint="eastAsia"/>
                <w:spacing w:val="9"/>
                <w:lang w:eastAsia="zh-CN"/>
              </w:rPr>
              <w:t>招标人</w:t>
            </w:r>
            <w:r>
              <w:rPr>
                <w:spacing w:val="7"/>
              </w:rPr>
              <w:t>同意后方能出餐，如未经</w:t>
            </w:r>
            <w:r>
              <w:rPr>
                <w:rFonts w:hint="eastAsia"/>
                <w:spacing w:val="7"/>
                <w:lang w:eastAsia="zh-CN"/>
              </w:rPr>
              <w:t>招标人</w:t>
            </w:r>
            <w:r>
              <w:rPr>
                <w:spacing w:val="7"/>
              </w:rPr>
              <w:t>同意私自出餐，每次扣</w:t>
            </w:r>
            <w:r>
              <w:rPr>
                <w:spacing w:val="-26"/>
              </w:rPr>
              <w:t xml:space="preserve"> </w:t>
            </w:r>
            <w:r>
              <w:rPr>
                <w:spacing w:val="7"/>
              </w:rPr>
              <w:t>5</w:t>
            </w:r>
            <w:r>
              <w:rPr>
                <w:spacing w:val="-35"/>
              </w:rPr>
              <w:t xml:space="preserve"> </w:t>
            </w:r>
            <w:r>
              <w:rPr>
                <w:spacing w:val="7"/>
              </w:rPr>
              <w:t>分。</w:t>
            </w:r>
          </w:p>
          <w:p>
            <w:pPr>
              <w:pStyle w:val="11"/>
              <w:spacing w:before="32" w:line="228" w:lineRule="auto"/>
              <w:ind w:left="531" w:leftChars="253" w:right="9" w:firstLine="0" w:firstLineChars="0"/>
              <w:jc w:val="both"/>
            </w:pPr>
            <w:r>
              <w:rPr>
                <w:spacing w:val="6"/>
              </w:rPr>
              <w:t>5.应每周按规定更换菜单，如延迟、无更换，每次扣</w:t>
            </w:r>
            <w:r>
              <w:rPr>
                <w:spacing w:val="-27"/>
              </w:rPr>
              <w:t xml:space="preserve"> </w:t>
            </w:r>
            <w:r>
              <w:rPr>
                <w:spacing w:val="6"/>
              </w:rPr>
              <w:t>5</w:t>
            </w:r>
            <w:r>
              <w:rPr>
                <w:spacing w:val="-36"/>
              </w:rPr>
              <w:t xml:space="preserve"> </w:t>
            </w:r>
            <w:r>
              <w:rPr>
                <w:spacing w:val="6"/>
              </w:rPr>
              <w:t>分。</w:t>
            </w:r>
          </w:p>
          <w:p>
            <w:pPr>
              <w:pStyle w:val="11"/>
              <w:spacing w:before="163" w:line="362" w:lineRule="auto"/>
              <w:ind w:left="115" w:right="175" w:firstLine="420"/>
            </w:pPr>
            <w:r>
              <w:rPr>
                <w:spacing w:val="9"/>
              </w:rPr>
              <w:t>6.菜品应不糊、不夹生，软硬适当，如出现过熟、过硬等</w:t>
            </w:r>
            <w:r>
              <w:rPr>
                <w:spacing w:val="3"/>
              </w:rPr>
              <w:t>现象，每次扣</w:t>
            </w:r>
            <w:r>
              <w:rPr>
                <w:spacing w:val="-24"/>
              </w:rPr>
              <w:t xml:space="preserve"> </w:t>
            </w:r>
            <w:r>
              <w:rPr>
                <w:spacing w:val="3"/>
              </w:rPr>
              <w:t>1</w:t>
            </w:r>
            <w:r>
              <w:rPr>
                <w:spacing w:val="-36"/>
              </w:rPr>
              <w:t xml:space="preserve"> </w:t>
            </w:r>
            <w:r>
              <w:rPr>
                <w:spacing w:val="3"/>
              </w:rPr>
              <w:t>分。</w:t>
            </w:r>
          </w:p>
          <w:p>
            <w:pPr>
              <w:pStyle w:val="11"/>
              <w:spacing w:before="32" w:line="228" w:lineRule="auto"/>
              <w:ind w:left="535" w:leftChars="255" w:right="9" w:firstLine="0" w:firstLineChars="0"/>
              <w:jc w:val="both"/>
            </w:pPr>
            <w:r>
              <w:rPr>
                <w:spacing w:val="6"/>
              </w:rPr>
              <w:t>7.菜品不得出现未熟、半熟、未熟透等现象，每次</w:t>
            </w:r>
            <w:r>
              <w:rPr>
                <w:spacing w:val="5"/>
              </w:rPr>
              <w:t>扣</w:t>
            </w:r>
            <w:r>
              <w:rPr>
                <w:spacing w:val="-24"/>
              </w:rPr>
              <w:t xml:space="preserve"> </w:t>
            </w:r>
            <w:r>
              <w:rPr>
                <w:spacing w:val="5"/>
              </w:rPr>
              <w:t>1</w:t>
            </w:r>
            <w:r>
              <w:rPr>
                <w:spacing w:val="-36"/>
              </w:rPr>
              <w:t xml:space="preserve"> </w:t>
            </w:r>
            <w:r>
              <w:rPr>
                <w:spacing w:val="5"/>
              </w:rPr>
              <w:t>分。</w:t>
            </w:r>
          </w:p>
          <w:p>
            <w:pPr>
              <w:pStyle w:val="11"/>
              <w:spacing w:before="163" w:line="371" w:lineRule="auto"/>
              <w:ind w:left="111" w:leftChars="53" w:right="173" w:firstLine="428" w:firstLineChars="200"/>
            </w:pPr>
            <w:r>
              <w:rPr>
                <w:spacing w:val="7"/>
              </w:rPr>
              <w:t>8.菜品应色香味俱全，原料新鲜。尤其是海鲜菜肴，</w:t>
            </w:r>
            <w:r>
              <w:rPr>
                <w:spacing w:val="-46"/>
              </w:rPr>
              <w:t xml:space="preserve"> </w:t>
            </w:r>
            <w:r>
              <w:rPr>
                <w:spacing w:val="7"/>
              </w:rPr>
              <w:t>口味</w:t>
            </w:r>
            <w:r>
              <w:rPr>
                <w:spacing w:val="9"/>
              </w:rPr>
              <w:t>避免过重，不能用调料、大料的味道压住食材本身的味道。如</w:t>
            </w:r>
            <w:r>
              <w:rPr>
                <w:spacing w:val="8"/>
              </w:rPr>
              <w:t>该菜式有</w:t>
            </w:r>
            <w:r>
              <w:rPr>
                <w:spacing w:val="-21"/>
              </w:rPr>
              <w:t xml:space="preserve"> </w:t>
            </w:r>
            <w:r>
              <w:rPr>
                <w:spacing w:val="8"/>
              </w:rPr>
              <w:t>5</w:t>
            </w:r>
            <w:r>
              <w:rPr>
                <w:spacing w:val="-37"/>
              </w:rPr>
              <w:t xml:space="preserve"> </w:t>
            </w:r>
            <w:r>
              <w:rPr>
                <w:spacing w:val="8"/>
              </w:rPr>
              <w:t>人或者以上反馈口味过重（如过咸、过辣、过</w:t>
            </w:r>
            <w:r>
              <w:t xml:space="preserve"> </w:t>
            </w:r>
            <w:r>
              <w:rPr>
                <w:spacing w:val="8"/>
              </w:rPr>
              <w:t>酸、过甜、过苦更不允许有异味腥、膻、臭味等</w:t>
            </w:r>
            <w:r>
              <w:rPr>
                <w:spacing w:val="15"/>
              </w:rPr>
              <w:t>），</w:t>
            </w:r>
            <w:r>
              <w:rPr>
                <w:spacing w:val="8"/>
              </w:rPr>
              <w:t>每次扣</w:t>
            </w:r>
            <w:r>
              <w:rPr>
                <w:spacing w:val="-23"/>
              </w:rPr>
              <w:t xml:space="preserve"> </w:t>
            </w:r>
            <w:r>
              <w:rPr>
                <w:spacing w:val="8"/>
              </w:rPr>
              <w:t>1</w:t>
            </w:r>
            <w:r>
              <w:t xml:space="preserve"> </w:t>
            </w:r>
            <w:r>
              <w:rPr>
                <w:spacing w:val="1"/>
              </w:rPr>
              <w:t>分。</w:t>
            </w:r>
          </w:p>
          <w:p>
            <w:pPr>
              <w:pStyle w:val="11"/>
              <w:spacing w:before="30" w:line="228" w:lineRule="auto"/>
              <w:ind w:left="534"/>
              <w:rPr>
                <w:spacing w:val="9"/>
              </w:rPr>
            </w:pPr>
            <w:r>
              <w:rPr>
                <w:spacing w:val="9"/>
              </w:rPr>
              <w:t>9.严格控制松肉粉、食粉的用量。严禁使用亚硝酸钠等化</w:t>
            </w:r>
          </w:p>
          <w:p>
            <w:pPr>
              <w:pStyle w:val="11"/>
              <w:spacing w:before="36" w:line="228" w:lineRule="auto"/>
            </w:pPr>
            <w:r>
              <w:rPr>
                <w:spacing w:val="5"/>
              </w:rPr>
              <w:t>学原料，每次发现扣</w:t>
            </w:r>
            <w:r>
              <w:rPr>
                <w:spacing w:val="-29"/>
              </w:rPr>
              <w:t xml:space="preserve"> </w:t>
            </w:r>
            <w:r>
              <w:rPr>
                <w:spacing w:val="5"/>
              </w:rPr>
              <w:t>5</w:t>
            </w:r>
            <w:r>
              <w:rPr>
                <w:spacing w:val="-36"/>
              </w:rPr>
              <w:t xml:space="preserve"> </w:t>
            </w:r>
            <w:r>
              <w:rPr>
                <w:spacing w:val="5"/>
              </w:rPr>
              <w:t>分。</w:t>
            </w:r>
          </w:p>
          <w:p>
            <w:pPr>
              <w:pStyle w:val="11"/>
              <w:spacing w:before="160" w:line="367" w:lineRule="auto"/>
              <w:ind w:left="0" w:leftChars="0" w:right="103" w:firstLine="547" w:firstLineChars="256"/>
              <w:jc w:val="both"/>
            </w:pPr>
            <w:r>
              <w:rPr>
                <w:spacing w:val="7"/>
              </w:rPr>
              <w:t>10.根据原料性质、菜品要求将原料切出规则的形状并且要</w:t>
            </w:r>
            <w:r>
              <w:rPr>
                <w:spacing w:val="5"/>
              </w:rPr>
              <w:t>均匀一致，如有同一种类原材料切配后重量差异超过50%或者以</w:t>
            </w:r>
            <w:r>
              <w:rPr>
                <w:spacing w:val="2"/>
              </w:rPr>
              <w:t>上，每次扣</w:t>
            </w:r>
            <w:r>
              <w:rPr>
                <w:spacing w:val="-22"/>
              </w:rPr>
              <w:t xml:space="preserve"> </w:t>
            </w:r>
            <w:r>
              <w:rPr>
                <w:spacing w:val="2"/>
              </w:rPr>
              <w:t>1</w:t>
            </w:r>
            <w:r>
              <w:rPr>
                <w:spacing w:val="-35"/>
              </w:rPr>
              <w:t xml:space="preserve"> </w:t>
            </w:r>
            <w:r>
              <w:rPr>
                <w:spacing w:val="2"/>
              </w:rPr>
              <w:t>分。</w:t>
            </w:r>
          </w:p>
          <w:p>
            <w:pPr>
              <w:pStyle w:val="11"/>
              <w:spacing w:before="31" w:line="362" w:lineRule="auto"/>
              <w:ind w:left="113" w:leftChars="54" w:right="173" w:firstLine="428" w:firstLineChars="200"/>
            </w:pPr>
            <w:r>
              <w:rPr>
                <w:spacing w:val="7"/>
              </w:rPr>
              <w:t>11.青菜应先洗后切，洗前要浸泡</w:t>
            </w:r>
            <w:r>
              <w:rPr>
                <w:spacing w:val="-30"/>
              </w:rPr>
              <w:t xml:space="preserve"> </w:t>
            </w:r>
            <w:r>
              <w:rPr>
                <w:spacing w:val="7"/>
              </w:rPr>
              <w:t>30</w:t>
            </w:r>
            <w:r>
              <w:rPr>
                <w:spacing w:val="-35"/>
              </w:rPr>
              <w:t xml:space="preserve"> </w:t>
            </w:r>
            <w:r>
              <w:rPr>
                <w:spacing w:val="7"/>
              </w:rPr>
              <w:t>分钟，如发现违规操</w:t>
            </w:r>
            <w:r>
              <w:t xml:space="preserve"> </w:t>
            </w:r>
            <w:r>
              <w:rPr>
                <w:spacing w:val="2"/>
              </w:rPr>
              <w:t>作，每次扣</w:t>
            </w:r>
            <w:r>
              <w:rPr>
                <w:spacing w:val="-22"/>
              </w:rPr>
              <w:t xml:space="preserve"> </w:t>
            </w:r>
            <w:r>
              <w:rPr>
                <w:spacing w:val="2"/>
              </w:rPr>
              <w:t>1</w:t>
            </w:r>
            <w:r>
              <w:rPr>
                <w:spacing w:val="-35"/>
              </w:rPr>
              <w:t xml:space="preserve"> </w:t>
            </w:r>
            <w:r>
              <w:rPr>
                <w:spacing w:val="2"/>
              </w:rPr>
              <w:t>分。</w:t>
            </w:r>
          </w:p>
          <w:p>
            <w:pPr>
              <w:pStyle w:val="11"/>
              <w:spacing w:before="34" w:line="362" w:lineRule="auto"/>
              <w:ind w:left="120" w:leftChars="57" w:right="103" w:firstLine="428" w:firstLineChars="200"/>
            </w:pPr>
            <w:r>
              <w:rPr>
                <w:spacing w:val="7"/>
              </w:rPr>
              <w:t>12.杜绝使用腐烂、变质的食材原料，如发现违规操作，每</w:t>
            </w:r>
            <w:r>
              <w:rPr>
                <w:spacing w:val="-4"/>
              </w:rPr>
              <w:t>次扣</w:t>
            </w:r>
            <w:r>
              <w:rPr>
                <w:spacing w:val="-22"/>
              </w:rPr>
              <w:t xml:space="preserve"> </w:t>
            </w:r>
            <w:r>
              <w:rPr>
                <w:spacing w:val="-4"/>
              </w:rPr>
              <w:t>1</w:t>
            </w:r>
            <w:r>
              <w:rPr>
                <w:spacing w:val="-35"/>
              </w:rPr>
              <w:t xml:space="preserve"> </w:t>
            </w:r>
            <w:r>
              <w:rPr>
                <w:spacing w:val="-4"/>
              </w:rPr>
              <w:t>分。</w:t>
            </w:r>
          </w:p>
          <w:p>
            <w:pPr>
              <w:pStyle w:val="11"/>
              <w:spacing w:before="31" w:line="228" w:lineRule="auto"/>
              <w:ind w:left="0" w:leftChars="0" w:firstLine="548" w:firstLineChars="261"/>
            </w:pPr>
            <w:r>
              <w:rPr>
                <w:spacing w:val="5"/>
              </w:rPr>
              <w:t>13.食品存在变质异味情况，每次扣</w:t>
            </w:r>
            <w:r>
              <w:rPr>
                <w:spacing w:val="-15"/>
              </w:rPr>
              <w:t xml:space="preserve"> </w:t>
            </w:r>
            <w:r>
              <w:rPr>
                <w:spacing w:val="5"/>
              </w:rPr>
              <w:t>5</w:t>
            </w:r>
            <w:r>
              <w:rPr>
                <w:spacing w:val="-38"/>
              </w:rPr>
              <w:t xml:space="preserve"> </w:t>
            </w:r>
            <w:r>
              <w:rPr>
                <w:spacing w:val="5"/>
              </w:rPr>
              <w:t>分。</w:t>
            </w:r>
          </w:p>
          <w:p>
            <w:pPr>
              <w:pStyle w:val="11"/>
              <w:spacing w:before="162" w:line="364" w:lineRule="auto"/>
              <w:ind w:left="113" w:right="49" w:firstLine="435"/>
            </w:pPr>
            <w:r>
              <w:rPr>
                <w:spacing w:val="2"/>
              </w:rPr>
              <w:t>14.厨师长不能私自变更饭菜品种、价格，</w:t>
            </w:r>
            <w:r>
              <w:rPr>
                <w:spacing w:val="1"/>
              </w:rPr>
              <w:t>如发现违规操作，</w:t>
            </w:r>
            <w:r>
              <w:t xml:space="preserve"> 每次扣</w:t>
            </w:r>
            <w:r>
              <w:rPr>
                <w:spacing w:val="-24"/>
              </w:rPr>
              <w:t xml:space="preserve"> </w:t>
            </w:r>
            <w:r>
              <w:t>1</w:t>
            </w:r>
            <w:r>
              <w:rPr>
                <w:spacing w:val="-36"/>
              </w:rPr>
              <w:t xml:space="preserve"> </w:t>
            </w:r>
            <w:r>
              <w:t>分。</w:t>
            </w:r>
          </w:p>
          <w:p>
            <w:pPr>
              <w:pStyle w:val="11"/>
              <w:spacing w:before="30" w:line="228" w:lineRule="auto"/>
              <w:rPr>
                <w:rFonts w:hint="default" w:eastAsia="宋体"/>
                <w:b w:val="0"/>
                <w:bCs w:val="0"/>
                <w:spacing w:val="9"/>
                <w:lang w:val="en-US" w:eastAsia="zh-CN"/>
              </w:rPr>
            </w:pPr>
          </w:p>
        </w:tc>
        <w:tc>
          <w:tcPr>
            <w:tcW w:w="787" w:type="dxa"/>
            <w:noWrap w:val="0"/>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11"/>
              <w:spacing w:before="65" w:line="190" w:lineRule="auto"/>
              <w:ind w:left="269"/>
            </w:pPr>
            <w:r>
              <w:rPr>
                <w:b/>
                <w:bCs/>
                <w:spacing w:val="-8"/>
              </w:rPr>
              <w:t>15</w:t>
            </w:r>
          </w:p>
        </w:tc>
        <w:tc>
          <w:tcPr>
            <w:tcW w:w="788" w:type="dxa"/>
            <w:noWrap w:val="0"/>
            <w:vAlign w:val="top"/>
          </w:tcPr>
          <w:p>
            <w:pPr>
              <w:rPr>
                <w:rFonts w:ascii="Arial"/>
                <w:sz w:val="21"/>
              </w:rPr>
            </w:pPr>
          </w:p>
        </w:tc>
      </w:tr>
    </w:tbl>
    <w:p/>
    <w:p/>
    <w:p/>
    <w:p/>
    <w:p/>
    <w:p/>
    <w:p/>
    <w:tbl>
      <w:tblPr>
        <w:tblStyle w:val="12"/>
        <w:tblW w:w="9913" w:type="dxa"/>
        <w:tblInd w:w="-7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8"/>
        <w:gridCol w:w="1075"/>
        <w:gridCol w:w="6150"/>
        <w:gridCol w:w="750"/>
        <w:gridCol w:w="8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9" w:hRule="atLeast"/>
        </w:trPr>
        <w:tc>
          <w:tcPr>
            <w:tcW w:w="1138" w:type="dxa"/>
            <w:vMerge w:val="restart"/>
            <w:tcBorders>
              <w:bottom w:val="nil"/>
            </w:tcBorders>
            <w:noWrap w:val="0"/>
            <w:vAlign w:val="top"/>
          </w:tcPr>
          <w:p>
            <w:pPr>
              <w:rPr>
                <w:rFonts w:ascii="Arial"/>
                <w:sz w:val="21"/>
              </w:rPr>
            </w:pPr>
          </w:p>
        </w:tc>
        <w:tc>
          <w:tcPr>
            <w:tcW w:w="1075" w:type="dxa"/>
            <w:noWrap w:val="0"/>
            <w:vAlign w:val="top"/>
          </w:tcPr>
          <w:p>
            <w:pPr>
              <w:rPr>
                <w:rFonts w:ascii="Arial"/>
                <w:sz w:val="21"/>
              </w:rPr>
            </w:pPr>
          </w:p>
        </w:tc>
        <w:tc>
          <w:tcPr>
            <w:tcW w:w="6150" w:type="dxa"/>
            <w:noWrap w:val="0"/>
            <w:vAlign w:val="top"/>
          </w:tcPr>
          <w:p>
            <w:pPr>
              <w:pStyle w:val="11"/>
              <w:spacing w:before="29" w:line="362" w:lineRule="auto"/>
              <w:ind w:left="112" w:right="103" w:firstLine="437"/>
            </w:pPr>
            <w:r>
              <w:rPr>
                <w:spacing w:val="7"/>
              </w:rPr>
              <w:t>15.应保证病人餐的出品质量，菜单每月变动一次，提交采购人审核后方可执行，如发现违规操作，每次扣</w:t>
            </w:r>
            <w:r>
              <w:rPr>
                <w:spacing w:val="-12"/>
              </w:rPr>
              <w:t xml:space="preserve"> </w:t>
            </w:r>
            <w:r>
              <w:rPr>
                <w:spacing w:val="7"/>
              </w:rPr>
              <w:t>1</w:t>
            </w:r>
            <w:r>
              <w:rPr>
                <w:spacing w:val="-35"/>
              </w:rPr>
              <w:t xml:space="preserve"> </w:t>
            </w:r>
            <w:r>
              <w:rPr>
                <w:spacing w:val="7"/>
              </w:rPr>
              <w:t>分。</w:t>
            </w:r>
          </w:p>
          <w:p>
            <w:pPr>
              <w:pStyle w:val="11"/>
              <w:spacing w:before="32" w:line="368" w:lineRule="auto"/>
              <w:ind w:left="113" w:right="49" w:firstLine="435"/>
            </w:pPr>
            <w:r>
              <w:rPr>
                <w:spacing w:val="7"/>
              </w:rPr>
              <w:t>16.应保证病人餐菜式搭配绿色健康，需提供重口味、</w:t>
            </w:r>
            <w:r>
              <w:rPr>
                <w:rFonts w:hint="eastAsia"/>
                <w:spacing w:val="7"/>
                <w:lang w:val="en-US" w:eastAsia="zh-CN"/>
              </w:rPr>
              <w:t>淡</w:t>
            </w:r>
            <w:r>
              <w:rPr>
                <w:spacing w:val="7"/>
              </w:rPr>
              <w:t>口</w:t>
            </w:r>
            <w:r>
              <w:rPr>
                <w:spacing w:val="2"/>
              </w:rPr>
              <w:t xml:space="preserve"> </w:t>
            </w:r>
            <w:r>
              <w:rPr>
                <w:spacing w:val="6"/>
              </w:rPr>
              <w:t>味、蒸菜、蒸蛋、辣菜、炒菜等供选择，如发现未按规定提供，</w:t>
            </w:r>
            <w:r>
              <w:rPr>
                <w:spacing w:val="15"/>
              </w:rPr>
              <w:t xml:space="preserve"> </w:t>
            </w:r>
            <w:r>
              <w:t>每次扣</w:t>
            </w:r>
            <w:r>
              <w:rPr>
                <w:spacing w:val="-24"/>
              </w:rPr>
              <w:t xml:space="preserve"> </w:t>
            </w:r>
            <w:r>
              <w:t>1</w:t>
            </w:r>
            <w:r>
              <w:rPr>
                <w:spacing w:val="-36"/>
              </w:rPr>
              <w:t xml:space="preserve"> </w:t>
            </w:r>
            <w:r>
              <w:t>分。</w:t>
            </w:r>
          </w:p>
          <w:p>
            <w:pPr>
              <w:pStyle w:val="11"/>
              <w:spacing w:before="30" w:line="368" w:lineRule="auto"/>
              <w:ind w:left="112" w:right="103" w:firstLine="437"/>
              <w:jc w:val="both"/>
            </w:pPr>
            <w:r>
              <w:rPr>
                <w:spacing w:val="7"/>
              </w:rPr>
              <w:t>17.应保证病人餐每餐提供流质、半流质、糖尿病饮食、无</w:t>
            </w:r>
            <w:r>
              <w:rPr>
                <w:spacing w:val="9"/>
              </w:rPr>
              <w:t>盐餐、高蛋白质餐等特殊餐饮需求服务（特殊餐饮服务根据采购人临床患者的需求变动而变动）。如发现未按规定提供，每</w:t>
            </w:r>
            <w:r>
              <w:t>次扣</w:t>
            </w:r>
            <w:r>
              <w:rPr>
                <w:spacing w:val="-35"/>
              </w:rPr>
              <w:t xml:space="preserve"> </w:t>
            </w:r>
            <w:r>
              <w:t>5</w:t>
            </w:r>
            <w:r>
              <w:rPr>
                <w:spacing w:val="-35"/>
              </w:rPr>
              <w:t xml:space="preserve"> </w:t>
            </w:r>
            <w:r>
              <w:t>分。</w:t>
            </w:r>
          </w:p>
        </w:tc>
        <w:tc>
          <w:tcPr>
            <w:tcW w:w="750" w:type="dxa"/>
            <w:noWrap w:val="0"/>
            <w:vAlign w:val="top"/>
          </w:tcPr>
          <w:p>
            <w:pPr>
              <w:rPr>
                <w:rFonts w:ascii="Arial"/>
                <w:sz w:val="21"/>
              </w:rPr>
            </w:pPr>
          </w:p>
        </w:tc>
        <w:tc>
          <w:tcPr>
            <w:tcW w:w="800"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8" w:hRule="atLeast"/>
        </w:trPr>
        <w:tc>
          <w:tcPr>
            <w:tcW w:w="1138" w:type="dxa"/>
            <w:vMerge w:val="continue"/>
            <w:tcBorders>
              <w:top w:val="nil"/>
            </w:tcBorders>
            <w:noWrap w:val="0"/>
            <w:vAlign w:val="top"/>
          </w:tcPr>
          <w:p>
            <w:pPr>
              <w:rPr>
                <w:rFonts w:ascii="Arial"/>
                <w:sz w:val="21"/>
              </w:rPr>
            </w:pPr>
          </w:p>
        </w:tc>
        <w:tc>
          <w:tcPr>
            <w:tcW w:w="1075" w:type="dxa"/>
            <w:noWrap w:val="0"/>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11"/>
              <w:spacing w:before="65" w:line="365" w:lineRule="auto"/>
              <w:ind w:left="344" w:right="129" w:hanging="211"/>
            </w:pPr>
            <w:r>
              <w:rPr>
                <w:b/>
                <w:bCs/>
                <w:spacing w:val="5"/>
              </w:rPr>
              <w:t>服务质</w:t>
            </w:r>
            <w:r>
              <w:t xml:space="preserve"> </w:t>
            </w:r>
            <w:r>
              <w:rPr>
                <w:b/>
                <w:bCs/>
                <w:spacing w:val="-2"/>
              </w:rPr>
              <w:t>量</w:t>
            </w:r>
          </w:p>
        </w:tc>
        <w:tc>
          <w:tcPr>
            <w:tcW w:w="6150" w:type="dxa"/>
            <w:noWrap w:val="0"/>
            <w:vAlign w:val="top"/>
          </w:tcPr>
          <w:p>
            <w:pPr>
              <w:pStyle w:val="11"/>
              <w:spacing w:before="34" w:line="362" w:lineRule="auto"/>
              <w:ind w:left="116" w:right="33" w:firstLine="432"/>
            </w:pPr>
            <w:r>
              <w:rPr>
                <w:spacing w:val="8"/>
              </w:rPr>
              <w:t>1.应保证配餐准时，并按在规定时间内完成配餐（包括职</w:t>
            </w:r>
            <w:r>
              <w:rPr>
                <w:spacing w:val="6"/>
              </w:rPr>
              <w:t xml:space="preserve">  </w:t>
            </w:r>
            <w:r>
              <w:rPr>
                <w:spacing w:val="4"/>
              </w:rPr>
              <w:t>工餐与病人餐</w:t>
            </w:r>
            <w:r>
              <w:rPr>
                <w:spacing w:val="6"/>
              </w:rPr>
              <w:t>），</w:t>
            </w:r>
            <w:r>
              <w:rPr>
                <w:spacing w:val="4"/>
              </w:rPr>
              <w:t>如有延时每次扣</w:t>
            </w:r>
            <w:r>
              <w:rPr>
                <w:spacing w:val="-24"/>
              </w:rPr>
              <w:t xml:space="preserve"> </w:t>
            </w:r>
            <w:r>
              <w:rPr>
                <w:spacing w:val="4"/>
              </w:rPr>
              <w:t>1</w:t>
            </w:r>
            <w:r>
              <w:rPr>
                <w:spacing w:val="-36"/>
              </w:rPr>
              <w:t xml:space="preserve"> </w:t>
            </w:r>
            <w:r>
              <w:rPr>
                <w:spacing w:val="4"/>
              </w:rPr>
              <w:t>分，如有漏送每次扣</w:t>
            </w:r>
            <w:r>
              <w:rPr>
                <w:spacing w:val="-23"/>
              </w:rPr>
              <w:t xml:space="preserve"> </w:t>
            </w:r>
            <w:r>
              <w:rPr>
                <w:spacing w:val="4"/>
              </w:rPr>
              <w:t>1</w:t>
            </w:r>
            <w:r>
              <w:rPr>
                <w:spacing w:val="-36"/>
              </w:rPr>
              <w:t xml:space="preserve"> </w:t>
            </w:r>
            <w:r>
              <w:rPr>
                <w:spacing w:val="4"/>
              </w:rPr>
              <w:t>分。</w:t>
            </w:r>
          </w:p>
          <w:p>
            <w:pPr>
              <w:pStyle w:val="11"/>
              <w:spacing w:before="31" w:line="362" w:lineRule="auto"/>
              <w:ind w:left="117" w:right="33" w:firstLine="419"/>
            </w:pPr>
            <w:r>
              <w:rPr>
                <w:spacing w:val="6"/>
              </w:rPr>
              <w:t>2.不得私自更改食品加工流程、增减餐线、变更餐线布局、</w:t>
            </w:r>
            <w:r>
              <w:rPr>
                <w:spacing w:val="15"/>
              </w:rPr>
              <w:t xml:space="preserve"> </w:t>
            </w:r>
            <w:r>
              <w:rPr>
                <w:spacing w:val="4"/>
              </w:rPr>
              <w:t>设备等现象，每次扣</w:t>
            </w:r>
            <w:r>
              <w:rPr>
                <w:spacing w:val="-17"/>
              </w:rPr>
              <w:t xml:space="preserve"> </w:t>
            </w:r>
            <w:r>
              <w:rPr>
                <w:spacing w:val="4"/>
              </w:rPr>
              <w:t>1</w:t>
            </w:r>
            <w:r>
              <w:rPr>
                <w:spacing w:val="-35"/>
              </w:rPr>
              <w:t xml:space="preserve"> </w:t>
            </w:r>
            <w:r>
              <w:rPr>
                <w:spacing w:val="4"/>
              </w:rPr>
              <w:t>分。</w:t>
            </w:r>
          </w:p>
          <w:p>
            <w:pPr>
              <w:pStyle w:val="11"/>
              <w:spacing w:before="34" w:line="362" w:lineRule="auto"/>
              <w:ind w:left="130" w:right="175" w:firstLine="407"/>
            </w:pPr>
            <w:r>
              <w:rPr>
                <w:spacing w:val="9"/>
              </w:rPr>
              <w:t>3.有召回、中毒应急管理制度并符合相关要求，如明知食</w:t>
            </w:r>
            <w:r>
              <w:rPr>
                <w:spacing w:val="6"/>
              </w:rPr>
              <w:t>品有问题仍出餐或者出餐后无召回，每次扣</w:t>
            </w:r>
            <w:r>
              <w:rPr>
                <w:spacing w:val="-15"/>
              </w:rPr>
              <w:t xml:space="preserve"> </w:t>
            </w:r>
            <w:r>
              <w:rPr>
                <w:spacing w:val="6"/>
              </w:rPr>
              <w:t>10</w:t>
            </w:r>
            <w:r>
              <w:rPr>
                <w:spacing w:val="-38"/>
              </w:rPr>
              <w:t xml:space="preserve"> </w:t>
            </w:r>
            <w:r>
              <w:rPr>
                <w:spacing w:val="6"/>
              </w:rPr>
              <w:t>分。</w:t>
            </w:r>
          </w:p>
          <w:p>
            <w:pPr>
              <w:pStyle w:val="11"/>
              <w:spacing w:before="31" w:line="362" w:lineRule="auto"/>
              <w:ind w:left="115" w:right="175" w:firstLine="417"/>
            </w:pPr>
            <w:r>
              <w:rPr>
                <w:spacing w:val="9"/>
              </w:rPr>
              <w:t>4.围餐服务应提供不低于星级酒店的服务标准，并安排专</w:t>
            </w:r>
            <w:r>
              <w:rPr>
                <w:spacing w:val="6"/>
              </w:rPr>
              <w:t>人接待，如发现违规操作，每次扣</w:t>
            </w:r>
            <w:r>
              <w:rPr>
                <w:spacing w:val="-15"/>
              </w:rPr>
              <w:t xml:space="preserve"> </w:t>
            </w:r>
            <w:r>
              <w:rPr>
                <w:spacing w:val="6"/>
              </w:rPr>
              <w:t>1</w:t>
            </w:r>
            <w:r>
              <w:rPr>
                <w:spacing w:val="-35"/>
              </w:rPr>
              <w:t xml:space="preserve"> </w:t>
            </w:r>
            <w:r>
              <w:rPr>
                <w:spacing w:val="6"/>
              </w:rPr>
              <w:t>分。</w:t>
            </w:r>
          </w:p>
          <w:p>
            <w:pPr>
              <w:pStyle w:val="11"/>
              <w:spacing w:before="33" w:line="362" w:lineRule="auto"/>
              <w:ind w:left="113" w:right="175" w:firstLine="424"/>
            </w:pPr>
            <w:r>
              <w:rPr>
                <w:spacing w:val="9"/>
              </w:rPr>
              <w:t>5.应主动举办美食活动、餐饮文化活动，如不配合</w:t>
            </w:r>
            <w:r>
              <w:rPr>
                <w:rFonts w:hint="eastAsia"/>
                <w:spacing w:val="9"/>
                <w:lang w:eastAsia="zh-CN"/>
              </w:rPr>
              <w:t>招标人</w:t>
            </w:r>
            <w:r>
              <w:rPr>
                <w:spacing w:val="5"/>
              </w:rPr>
              <w:t>举办活动，每次扣</w:t>
            </w:r>
            <w:r>
              <w:rPr>
                <w:spacing w:val="-31"/>
              </w:rPr>
              <w:t xml:space="preserve"> </w:t>
            </w:r>
            <w:r>
              <w:rPr>
                <w:spacing w:val="5"/>
              </w:rPr>
              <w:t>5</w:t>
            </w:r>
            <w:r>
              <w:rPr>
                <w:spacing w:val="-36"/>
              </w:rPr>
              <w:t xml:space="preserve"> </w:t>
            </w:r>
            <w:r>
              <w:rPr>
                <w:spacing w:val="5"/>
              </w:rPr>
              <w:t>分。</w:t>
            </w:r>
          </w:p>
          <w:p>
            <w:pPr>
              <w:pStyle w:val="11"/>
              <w:spacing w:before="32" w:line="362" w:lineRule="auto"/>
              <w:ind w:left="130" w:right="175" w:firstLine="404"/>
            </w:pPr>
            <w:r>
              <w:rPr>
                <w:spacing w:val="9"/>
              </w:rPr>
              <w:t>6.应承担微信公众号宣传工作、餐卡收费系统与订餐系统</w:t>
            </w:r>
            <w:r>
              <w:rPr>
                <w:spacing w:val="6"/>
              </w:rPr>
              <w:t>的管理工作等服务，如发现违规操作，每次扣</w:t>
            </w:r>
            <w:r>
              <w:rPr>
                <w:spacing w:val="-12"/>
              </w:rPr>
              <w:t xml:space="preserve"> </w:t>
            </w:r>
            <w:r>
              <w:rPr>
                <w:spacing w:val="6"/>
              </w:rPr>
              <w:t>1</w:t>
            </w:r>
            <w:r>
              <w:rPr>
                <w:spacing w:val="-35"/>
              </w:rPr>
              <w:t xml:space="preserve"> </w:t>
            </w:r>
            <w:r>
              <w:rPr>
                <w:spacing w:val="6"/>
              </w:rPr>
              <w:t>分。</w:t>
            </w:r>
          </w:p>
          <w:p>
            <w:pPr>
              <w:pStyle w:val="11"/>
              <w:spacing w:before="31" w:line="228" w:lineRule="auto"/>
              <w:ind w:left="538"/>
            </w:pPr>
            <w:r>
              <w:rPr>
                <w:spacing w:val="8"/>
              </w:rPr>
              <w:t>7.病人餐的配送人员须与餐厅驻场的服务人员进行区分，</w:t>
            </w:r>
          </w:p>
          <w:p>
            <w:pPr>
              <w:pStyle w:val="11"/>
              <w:spacing w:before="161" w:line="228" w:lineRule="auto"/>
              <w:ind w:left="117"/>
              <w:rPr>
                <w:spacing w:val="6"/>
              </w:rPr>
            </w:pPr>
            <w:r>
              <w:rPr>
                <w:spacing w:val="6"/>
              </w:rPr>
              <w:t>不得利用驻场的工作人员进行配送，如发现违规操作，每次扣</w:t>
            </w:r>
            <w:r>
              <w:rPr>
                <w:spacing w:val="-33"/>
              </w:rPr>
              <w:t xml:space="preserve"> </w:t>
            </w:r>
            <w:r>
              <w:rPr>
                <w:spacing w:val="6"/>
              </w:rPr>
              <w:t>3</w:t>
            </w:r>
          </w:p>
          <w:p>
            <w:pPr>
              <w:pStyle w:val="11"/>
              <w:spacing w:before="161" w:line="228" w:lineRule="auto"/>
              <w:ind w:left="117"/>
              <w:rPr>
                <w:rFonts w:hint="eastAsia" w:eastAsia="宋体"/>
                <w:spacing w:val="6"/>
                <w:lang w:eastAsia="zh-CN"/>
              </w:rPr>
            </w:pPr>
            <w:r>
              <w:rPr>
                <w:rFonts w:hint="eastAsia"/>
                <w:spacing w:val="6"/>
                <w:lang w:eastAsia="zh-CN"/>
              </w:rPr>
              <w:t>分。</w:t>
            </w:r>
          </w:p>
        </w:tc>
        <w:tc>
          <w:tcPr>
            <w:tcW w:w="750" w:type="dxa"/>
            <w:noWrap w:val="0"/>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pStyle w:val="11"/>
              <w:spacing w:before="65" w:line="190" w:lineRule="auto"/>
              <w:ind w:left="269"/>
            </w:pPr>
            <w:r>
              <w:rPr>
                <w:b/>
                <w:bCs/>
                <w:spacing w:val="-8"/>
              </w:rPr>
              <w:t>10</w:t>
            </w:r>
          </w:p>
        </w:tc>
        <w:tc>
          <w:tcPr>
            <w:tcW w:w="800" w:type="dxa"/>
            <w:noWrap w:val="0"/>
            <w:vAlign w:val="top"/>
          </w:tcPr>
          <w:p>
            <w:pPr>
              <w:rPr>
                <w:rFonts w:ascii="Arial"/>
                <w:sz w:val="21"/>
              </w:rPr>
            </w:pPr>
          </w:p>
        </w:tc>
      </w:tr>
    </w:tbl>
    <w:p/>
    <w:p/>
    <w:tbl>
      <w:tblPr>
        <w:tblStyle w:val="12"/>
        <w:tblW w:w="9900" w:type="dxa"/>
        <w:tblInd w:w="-7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7"/>
        <w:gridCol w:w="1063"/>
        <w:gridCol w:w="6150"/>
        <w:gridCol w:w="737"/>
        <w:gridCol w:w="8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4" w:hRule="atLeast"/>
        </w:trPr>
        <w:tc>
          <w:tcPr>
            <w:tcW w:w="1137" w:type="dxa"/>
            <w:vMerge w:val="restart"/>
            <w:tcBorders>
              <w:bottom w:val="nil"/>
            </w:tcBorders>
            <w:noWrap w:val="0"/>
            <w:vAlign w:val="top"/>
          </w:tcPr>
          <w:p>
            <w:pPr>
              <w:spacing w:line="246" w:lineRule="auto"/>
              <w:rPr>
                <w:rFonts w:hint="default" w:ascii="Arial" w:eastAsia="宋体"/>
                <w:sz w:val="21"/>
                <w:lang w:val="en-US" w:eastAsia="zh-CN"/>
              </w:rPr>
            </w:pPr>
          </w:p>
          <w:p>
            <w:pPr>
              <w:spacing w:line="246" w:lineRule="auto"/>
              <w:rPr>
                <w:rFonts w:hint="default" w:ascii="Arial" w:eastAsia="宋体"/>
                <w:sz w:val="21"/>
                <w:lang w:val="en-US" w:eastAsia="zh-CN"/>
              </w:rPr>
            </w:pPr>
          </w:p>
          <w:p>
            <w:pPr>
              <w:spacing w:line="246" w:lineRule="auto"/>
              <w:rPr>
                <w:rFonts w:hint="default" w:ascii="Arial" w:eastAsia="宋体"/>
                <w:sz w:val="21"/>
                <w:lang w:val="en-US" w:eastAsia="zh-CN"/>
              </w:rPr>
            </w:pPr>
          </w:p>
          <w:p>
            <w:pPr>
              <w:spacing w:line="246" w:lineRule="auto"/>
              <w:rPr>
                <w:rFonts w:hint="default" w:ascii="Arial" w:eastAsia="宋体"/>
                <w:sz w:val="21"/>
                <w:lang w:val="en-US" w:eastAsia="zh-CN"/>
              </w:rPr>
            </w:pPr>
          </w:p>
          <w:p>
            <w:pPr>
              <w:spacing w:line="246" w:lineRule="auto"/>
              <w:rPr>
                <w:rFonts w:hint="default" w:ascii="Arial" w:eastAsia="宋体"/>
                <w:sz w:val="21"/>
                <w:lang w:val="en-US" w:eastAsia="zh-CN"/>
              </w:rPr>
            </w:pPr>
          </w:p>
          <w:p>
            <w:pPr>
              <w:spacing w:line="246" w:lineRule="auto"/>
              <w:rPr>
                <w:rFonts w:hint="default" w:ascii="Arial" w:eastAsia="宋体"/>
                <w:sz w:val="21"/>
                <w:lang w:val="en-US" w:eastAsia="zh-CN"/>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hint="eastAsia" w:ascii="Arial" w:eastAsia="宋体"/>
                <w:sz w:val="21"/>
                <w:lang w:eastAsia="zh-CN"/>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11"/>
              <w:spacing w:before="65" w:line="228" w:lineRule="auto"/>
              <w:ind w:left="207"/>
            </w:pPr>
            <w:r>
              <w:rPr>
                <w:b/>
                <w:bCs/>
                <w:spacing w:val="5"/>
              </w:rPr>
              <w:t>满意度</w:t>
            </w:r>
          </w:p>
          <w:p>
            <w:pPr>
              <w:pStyle w:val="11"/>
              <w:spacing w:before="160" w:line="365" w:lineRule="auto"/>
              <w:ind w:left="313" w:right="108" w:hanging="196"/>
            </w:pPr>
            <w:r>
              <w:rPr>
                <w:b/>
                <w:bCs/>
                <w:spacing w:val="-2"/>
              </w:rPr>
              <w:t>反馈（15</w:t>
            </w:r>
            <w:r>
              <w:rPr>
                <w:spacing w:val="2"/>
              </w:rPr>
              <w:t xml:space="preserve"> </w:t>
            </w:r>
            <w:r>
              <w:rPr>
                <w:b/>
                <w:bCs/>
                <w:spacing w:val="-3"/>
              </w:rPr>
              <w:t>分）</w:t>
            </w:r>
          </w:p>
        </w:tc>
        <w:tc>
          <w:tcPr>
            <w:tcW w:w="1063" w:type="dxa"/>
            <w:noWrap w:val="0"/>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11"/>
              <w:spacing w:before="65" w:line="362" w:lineRule="auto"/>
              <w:ind w:left="244" w:right="129" w:hanging="109"/>
            </w:pPr>
            <w:r>
              <w:rPr>
                <w:b/>
                <w:bCs/>
                <w:spacing w:val="5"/>
              </w:rPr>
              <w:t>就餐满</w:t>
            </w:r>
            <w:r>
              <w:t xml:space="preserve"> </w:t>
            </w:r>
            <w:r>
              <w:rPr>
                <w:b/>
                <w:bCs/>
                <w:spacing w:val="1"/>
              </w:rPr>
              <w:t>意度</w:t>
            </w:r>
          </w:p>
        </w:tc>
        <w:tc>
          <w:tcPr>
            <w:tcW w:w="6150" w:type="dxa"/>
            <w:noWrap w:val="0"/>
            <w:vAlign w:val="top"/>
          </w:tcPr>
          <w:p>
            <w:pPr>
              <w:pStyle w:val="11"/>
              <w:spacing w:before="32" w:line="370" w:lineRule="auto"/>
              <w:ind w:right="102"/>
              <w:rPr>
                <w:rFonts w:hint="eastAsia"/>
                <w:spacing w:val="8"/>
              </w:rPr>
            </w:pPr>
            <w:r>
              <w:rPr>
                <w:rFonts w:hint="eastAsia"/>
                <w:spacing w:val="8"/>
              </w:rPr>
              <w:t>就餐满意度：</w:t>
            </w:r>
          </w:p>
          <w:p>
            <w:pPr>
              <w:pStyle w:val="11"/>
              <w:spacing w:before="32" w:line="370" w:lineRule="auto"/>
              <w:ind w:left="116" w:right="102" w:firstLine="432"/>
              <w:rPr>
                <w:rFonts w:hint="eastAsia"/>
                <w:spacing w:val="8"/>
                <w:highlight w:val="red"/>
              </w:rPr>
            </w:pPr>
            <w:r>
              <w:rPr>
                <w:rFonts w:hint="eastAsia"/>
                <w:spacing w:val="8"/>
                <w:highlight w:val="red"/>
              </w:rPr>
              <w:t>1.每季度向全院职工和住院病人及家属进行满意</w:t>
            </w:r>
            <w:r>
              <w:rPr>
                <w:rFonts w:hint="eastAsia"/>
                <w:spacing w:val="8"/>
                <w:highlight w:val="red"/>
                <w:lang w:eastAsia="zh-CN"/>
              </w:rPr>
              <w:t>率</w:t>
            </w:r>
            <w:r>
              <w:rPr>
                <w:rFonts w:hint="eastAsia"/>
                <w:spacing w:val="8"/>
                <w:highlight w:val="red"/>
              </w:rPr>
              <w:t xml:space="preserve">调查，调查人数职工不得低于30 人，病人不低于10人，其中： 职工餐满意率在 70 %以上不扣分、满意率在 65-69 </w:t>
            </w:r>
            <w:r>
              <w:rPr>
                <w:rFonts w:hint="eastAsia"/>
                <w:spacing w:val="8"/>
                <w:highlight w:val="red"/>
                <w:lang w:val="en-US" w:eastAsia="zh-CN"/>
              </w:rPr>
              <w:t>%</w:t>
            </w:r>
            <w:r>
              <w:rPr>
                <w:rFonts w:hint="eastAsia"/>
                <w:spacing w:val="8"/>
                <w:highlight w:val="red"/>
              </w:rPr>
              <w:t>之间扣2 分，满意率低于65 分扣 3 分；病人餐满意率在 80 分以上不扣 分、满意率在 70-79 分之间扣 2 分，满意率在 60-69 分之间扣 5 分，满意度低于 60分扣 10分。</w:t>
            </w:r>
          </w:p>
          <w:p>
            <w:r>
              <w:rPr>
                <w:rFonts w:hint="eastAsia"/>
                <w:spacing w:val="8"/>
              </w:rPr>
              <w:t>2.在职工餐调查结果满意率低于70%或者病人餐满意率低于80%，应在1周内提交书面分析报告</w:t>
            </w:r>
            <w:r>
              <w:rPr>
                <w:rFonts w:hint="eastAsia"/>
                <w:spacing w:val="8"/>
                <w:lang w:eastAsia="zh-CN"/>
              </w:rPr>
              <w:t>（含</w:t>
            </w:r>
            <w:r>
              <w:rPr>
                <w:rFonts w:hint="eastAsia"/>
                <w:spacing w:val="8"/>
              </w:rPr>
              <w:t>整改措施</w:t>
            </w:r>
            <w:r>
              <w:rPr>
                <w:rFonts w:hint="eastAsia"/>
                <w:spacing w:val="8"/>
                <w:lang w:eastAsia="zh-CN"/>
              </w:rPr>
              <w:t>），并按核准的整改措施、整改时间完成整改，</w:t>
            </w:r>
            <w:r>
              <w:rPr>
                <w:rFonts w:hint="eastAsia"/>
                <w:spacing w:val="8"/>
              </w:rPr>
              <w:t>如未</w:t>
            </w:r>
            <w:r>
              <w:rPr>
                <w:rFonts w:hint="eastAsia"/>
                <w:spacing w:val="8"/>
                <w:lang w:eastAsia="zh-CN"/>
              </w:rPr>
              <w:t>完成整改</w:t>
            </w:r>
            <w:r>
              <w:rPr>
                <w:rFonts w:hint="eastAsia"/>
                <w:spacing w:val="8"/>
              </w:rPr>
              <w:t>，每次扣5分。</w:t>
            </w:r>
          </w:p>
        </w:tc>
        <w:tc>
          <w:tcPr>
            <w:tcW w:w="737" w:type="dxa"/>
            <w:noWrap w:val="0"/>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11"/>
              <w:spacing w:before="65" w:line="190" w:lineRule="auto"/>
              <w:ind w:left="269"/>
            </w:pPr>
            <w:r>
              <w:rPr>
                <w:b/>
                <w:bCs/>
                <w:spacing w:val="-8"/>
              </w:rPr>
              <w:t>10</w:t>
            </w:r>
          </w:p>
        </w:tc>
        <w:tc>
          <w:tcPr>
            <w:tcW w:w="813"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1137" w:type="dxa"/>
            <w:vMerge w:val="continue"/>
            <w:tcBorders>
              <w:top w:val="nil"/>
            </w:tcBorders>
            <w:noWrap w:val="0"/>
            <w:vAlign w:val="top"/>
          </w:tcPr>
          <w:p>
            <w:pPr>
              <w:rPr>
                <w:rFonts w:ascii="Arial"/>
                <w:sz w:val="21"/>
              </w:rPr>
            </w:pPr>
          </w:p>
        </w:tc>
        <w:tc>
          <w:tcPr>
            <w:tcW w:w="1063" w:type="dxa"/>
            <w:noWrap w:val="0"/>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11"/>
              <w:spacing w:before="65" w:line="362" w:lineRule="auto"/>
              <w:ind w:left="238" w:right="129" w:hanging="103"/>
            </w:pPr>
            <w:r>
              <w:rPr>
                <w:b/>
                <w:bCs/>
                <w:spacing w:val="5"/>
              </w:rPr>
              <w:t>就餐投</w:t>
            </w:r>
            <w:r>
              <w:t xml:space="preserve"> </w:t>
            </w:r>
            <w:r>
              <w:rPr>
                <w:b/>
                <w:bCs/>
                <w:spacing w:val="4"/>
              </w:rPr>
              <w:t>诉率</w:t>
            </w:r>
          </w:p>
        </w:tc>
        <w:tc>
          <w:tcPr>
            <w:tcW w:w="6150" w:type="dxa"/>
            <w:noWrap w:val="0"/>
            <w:vAlign w:val="top"/>
          </w:tcPr>
          <w:p>
            <w:pPr>
              <w:pStyle w:val="11"/>
              <w:spacing w:before="33" w:line="367" w:lineRule="auto"/>
              <w:ind w:left="114" w:right="49" w:firstLine="434"/>
              <w:jc w:val="both"/>
            </w:pPr>
            <w:r>
              <w:rPr>
                <w:spacing w:val="8"/>
              </w:rPr>
              <w:t>1.收到</w:t>
            </w:r>
            <w:r>
              <w:rPr>
                <w:rFonts w:hint="eastAsia"/>
                <w:spacing w:val="8"/>
                <w:lang w:eastAsia="zh-CN"/>
              </w:rPr>
              <w:t>招标人</w:t>
            </w:r>
            <w:r>
              <w:rPr>
                <w:spacing w:val="8"/>
              </w:rPr>
              <w:t>职工或者病人合理的投诉（如出品质量、配</w:t>
            </w:r>
            <w:r>
              <w:rPr>
                <w:spacing w:val="6"/>
              </w:rPr>
              <w:t xml:space="preserve">  </w:t>
            </w:r>
            <w:r>
              <w:rPr>
                <w:spacing w:val="5"/>
              </w:rPr>
              <w:t>餐服务等</w:t>
            </w:r>
            <w:r>
              <w:rPr>
                <w:spacing w:val="6"/>
              </w:rPr>
              <w:t>），</w:t>
            </w:r>
            <w:r>
              <w:rPr>
                <w:spacing w:val="5"/>
              </w:rPr>
              <w:t>每次扣</w:t>
            </w:r>
            <w:r>
              <w:rPr>
                <w:spacing w:val="-24"/>
              </w:rPr>
              <w:t xml:space="preserve"> </w:t>
            </w:r>
            <w:r>
              <w:rPr>
                <w:spacing w:val="5"/>
              </w:rPr>
              <w:t>1</w:t>
            </w:r>
            <w:r>
              <w:rPr>
                <w:spacing w:val="-35"/>
              </w:rPr>
              <w:t xml:space="preserve"> </w:t>
            </w:r>
            <w:r>
              <w:rPr>
                <w:spacing w:val="5"/>
              </w:rPr>
              <w:t>分（如投诉内容已在其他考核标准扣分，</w:t>
            </w:r>
            <w:r>
              <w:t xml:space="preserve"> </w:t>
            </w:r>
            <w:r>
              <w:rPr>
                <w:spacing w:val="6"/>
              </w:rPr>
              <w:t>本项不再扣分）。</w:t>
            </w:r>
          </w:p>
          <w:p>
            <w:pPr>
              <w:pStyle w:val="11"/>
              <w:spacing w:before="32" w:line="364" w:lineRule="auto"/>
              <w:ind w:left="119" w:right="175" w:firstLine="416"/>
            </w:pPr>
            <w:r>
              <w:rPr>
                <w:spacing w:val="9"/>
              </w:rPr>
              <w:t>2.收到</w:t>
            </w:r>
            <w:r>
              <w:rPr>
                <w:rFonts w:hint="eastAsia"/>
                <w:spacing w:val="9"/>
                <w:lang w:eastAsia="zh-CN"/>
              </w:rPr>
              <w:t>招标人</w:t>
            </w:r>
            <w:r>
              <w:rPr>
                <w:spacing w:val="9"/>
              </w:rPr>
              <w:t>职工或者病人关于服务态度方面的投诉，每</w:t>
            </w:r>
            <w:r>
              <w:rPr>
                <w:spacing w:val="-4"/>
              </w:rPr>
              <w:t>次扣</w:t>
            </w:r>
            <w:r>
              <w:rPr>
                <w:spacing w:val="-22"/>
              </w:rPr>
              <w:t xml:space="preserve"> </w:t>
            </w:r>
            <w:r>
              <w:rPr>
                <w:spacing w:val="-4"/>
              </w:rPr>
              <w:t>1</w:t>
            </w:r>
            <w:r>
              <w:rPr>
                <w:spacing w:val="-35"/>
              </w:rPr>
              <w:t xml:space="preserve"> </w:t>
            </w:r>
            <w:r>
              <w:rPr>
                <w:spacing w:val="-4"/>
              </w:rPr>
              <w:t>分。</w:t>
            </w:r>
          </w:p>
          <w:p>
            <w:pPr>
              <w:pStyle w:val="11"/>
              <w:spacing w:before="28" w:line="228" w:lineRule="auto"/>
              <w:ind w:left="537"/>
            </w:pPr>
            <w:r>
              <w:rPr>
                <w:spacing w:val="7"/>
              </w:rPr>
              <w:t>3.收到与职工或者病人及家属争吵的投诉，每次扣</w:t>
            </w:r>
            <w:r>
              <w:rPr>
                <w:spacing w:val="-23"/>
              </w:rPr>
              <w:t xml:space="preserve"> </w:t>
            </w:r>
            <w:r>
              <w:rPr>
                <w:spacing w:val="7"/>
              </w:rPr>
              <w:t>5</w:t>
            </w:r>
            <w:r>
              <w:rPr>
                <w:spacing w:val="-35"/>
              </w:rPr>
              <w:t xml:space="preserve"> </w:t>
            </w:r>
            <w:r>
              <w:rPr>
                <w:spacing w:val="7"/>
              </w:rPr>
              <w:t>分。</w:t>
            </w:r>
          </w:p>
          <w:p>
            <w:pPr>
              <w:pStyle w:val="11"/>
              <w:spacing w:before="161" w:line="368" w:lineRule="auto"/>
              <w:ind w:left="112" w:right="175" w:firstLine="420"/>
            </w:pPr>
            <w:r>
              <w:rPr>
                <w:spacing w:val="9"/>
              </w:rPr>
              <w:t>4.应对投诉进行书面记录、分析原因、提出解决措施，并</w:t>
            </w:r>
            <w:r>
              <w:rPr>
                <w:spacing w:val="8"/>
              </w:rPr>
              <w:t>在收到投诉的</w:t>
            </w:r>
            <w:r>
              <w:rPr>
                <w:spacing w:val="-20"/>
              </w:rPr>
              <w:t xml:space="preserve"> </w:t>
            </w:r>
            <w:r>
              <w:rPr>
                <w:spacing w:val="8"/>
              </w:rPr>
              <w:t>3</w:t>
            </w:r>
            <w:r>
              <w:rPr>
                <w:spacing w:val="-38"/>
              </w:rPr>
              <w:t xml:space="preserve"> </w:t>
            </w:r>
            <w:r>
              <w:rPr>
                <w:spacing w:val="8"/>
              </w:rPr>
              <w:t>个工作日内交至</w:t>
            </w:r>
            <w:r>
              <w:rPr>
                <w:rFonts w:hint="eastAsia"/>
                <w:spacing w:val="8"/>
                <w:lang w:eastAsia="zh-CN"/>
              </w:rPr>
              <w:t>招标人</w:t>
            </w:r>
            <w:r>
              <w:rPr>
                <w:spacing w:val="8"/>
              </w:rPr>
              <w:t>备案，如未按实记录或</w:t>
            </w:r>
            <w:r>
              <w:rPr>
                <w:spacing w:val="5"/>
              </w:rPr>
              <w:t>者未按时提交备案，每次扣</w:t>
            </w:r>
            <w:r>
              <w:rPr>
                <w:spacing w:val="-11"/>
              </w:rPr>
              <w:t xml:space="preserve"> </w:t>
            </w:r>
            <w:r>
              <w:rPr>
                <w:spacing w:val="5"/>
              </w:rPr>
              <w:t>1</w:t>
            </w:r>
            <w:r>
              <w:rPr>
                <w:spacing w:val="-35"/>
              </w:rPr>
              <w:t xml:space="preserve"> </w:t>
            </w:r>
            <w:r>
              <w:rPr>
                <w:spacing w:val="5"/>
              </w:rPr>
              <w:t>分。</w:t>
            </w:r>
          </w:p>
          <w:p>
            <w:pPr>
              <w:pStyle w:val="11"/>
              <w:spacing w:before="31" w:line="365" w:lineRule="auto"/>
              <w:ind w:left="113" w:right="102" w:firstLine="424"/>
            </w:pPr>
            <w:r>
              <w:rPr>
                <w:spacing w:val="8"/>
              </w:rPr>
              <w:t>5.如出现</w:t>
            </w:r>
            <w:r>
              <w:rPr>
                <w:spacing w:val="-35"/>
              </w:rPr>
              <w:t xml:space="preserve"> </w:t>
            </w:r>
            <w:r>
              <w:rPr>
                <w:spacing w:val="8"/>
              </w:rPr>
              <w:t>5</w:t>
            </w:r>
            <w:r>
              <w:rPr>
                <w:spacing w:val="-36"/>
              </w:rPr>
              <w:t xml:space="preserve"> </w:t>
            </w:r>
            <w:r>
              <w:rPr>
                <w:spacing w:val="8"/>
              </w:rPr>
              <w:t>人以上因食用同一款菜品导致腹泻或</w:t>
            </w:r>
            <w:r>
              <w:rPr>
                <w:spacing w:val="7"/>
              </w:rPr>
              <w:t>者肠胃不</w:t>
            </w:r>
            <w:r>
              <w:rPr>
                <w:spacing w:val="6"/>
              </w:rPr>
              <w:t>适且有相关医学鉴定报告确定为食物引起的中毒病症</w:t>
            </w:r>
            <w:r>
              <w:rPr>
                <w:spacing w:val="5"/>
              </w:rPr>
              <w:t>，每次扣</w:t>
            </w:r>
            <w:r>
              <w:rPr>
                <w:spacing w:val="-33"/>
              </w:rPr>
              <w:t xml:space="preserve"> </w:t>
            </w:r>
            <w:r>
              <w:rPr>
                <w:spacing w:val="5"/>
              </w:rPr>
              <w:t>5</w:t>
            </w:r>
            <w:r>
              <w:rPr>
                <w:spacing w:val="8"/>
              </w:rPr>
              <w:t>分，且一切费用与经济纠纷由中标人承担。</w:t>
            </w:r>
          </w:p>
        </w:tc>
        <w:tc>
          <w:tcPr>
            <w:tcW w:w="737" w:type="dxa"/>
            <w:noWrap w:val="0"/>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11"/>
              <w:spacing w:before="65" w:line="187" w:lineRule="auto"/>
              <w:ind w:left="311"/>
            </w:pPr>
            <w:r>
              <w:rPr>
                <w:b/>
                <w:bCs/>
                <w:spacing w:val="-3"/>
              </w:rPr>
              <w:t>5</w:t>
            </w:r>
          </w:p>
        </w:tc>
        <w:tc>
          <w:tcPr>
            <w:tcW w:w="813" w:type="dxa"/>
            <w:noWrap w:val="0"/>
            <w:vAlign w:val="top"/>
          </w:tcPr>
          <w:p>
            <w:pPr>
              <w:rPr>
                <w:rFonts w:ascii="Arial"/>
                <w:sz w:val="21"/>
              </w:rPr>
            </w:pPr>
          </w:p>
        </w:tc>
      </w:tr>
    </w:tbl>
    <w:p/>
    <w:p/>
    <w:tbl>
      <w:tblPr>
        <w:tblStyle w:val="12"/>
        <w:tblW w:w="9912" w:type="dxa"/>
        <w:tblInd w:w="-7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2"/>
        <w:gridCol w:w="1050"/>
        <w:gridCol w:w="6163"/>
        <w:gridCol w:w="750"/>
        <w:gridCol w:w="7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7" w:hRule="atLeast"/>
        </w:trPr>
        <w:tc>
          <w:tcPr>
            <w:tcW w:w="1162" w:type="dxa"/>
            <w:vMerge w:val="restart"/>
            <w:tcBorders>
              <w:bottom w:val="nil"/>
            </w:tcBorders>
            <w:noWrap w:val="0"/>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11"/>
              <w:spacing w:before="65" w:line="368" w:lineRule="auto"/>
              <w:ind w:left="126" w:right="46" w:firstLine="117"/>
              <w:jc w:val="both"/>
            </w:pPr>
            <w:r>
              <w:rPr>
                <w:b/>
                <w:bCs/>
                <w:spacing w:val="-7"/>
              </w:rPr>
              <w:t>日常运</w:t>
            </w:r>
            <w:r>
              <w:t xml:space="preserve">  </w:t>
            </w:r>
            <w:r>
              <w:rPr>
                <w:b/>
                <w:bCs/>
                <w:spacing w:val="32"/>
              </w:rPr>
              <w:t>营评价</w:t>
            </w:r>
            <w:r>
              <w:t xml:space="preserve">  </w:t>
            </w:r>
            <w:r>
              <w:rPr>
                <w:b/>
                <w:bCs/>
                <w:spacing w:val="-4"/>
              </w:rPr>
              <w:t>（10</w:t>
            </w:r>
            <w:r>
              <w:rPr>
                <w:spacing w:val="-36"/>
              </w:rPr>
              <w:t xml:space="preserve"> </w:t>
            </w:r>
            <w:r>
              <w:rPr>
                <w:b/>
                <w:bCs/>
                <w:spacing w:val="-4"/>
              </w:rPr>
              <w:t>分）</w:t>
            </w:r>
          </w:p>
        </w:tc>
        <w:tc>
          <w:tcPr>
            <w:tcW w:w="1050" w:type="dxa"/>
            <w:noWrap w:val="0"/>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11"/>
              <w:spacing w:before="65" w:line="228" w:lineRule="auto"/>
              <w:ind w:left="136"/>
            </w:pPr>
            <w:r>
              <w:rPr>
                <w:b/>
                <w:bCs/>
                <w:spacing w:val="4"/>
              </w:rPr>
              <w:t>关键岗</w:t>
            </w:r>
          </w:p>
          <w:p>
            <w:pPr>
              <w:pStyle w:val="11"/>
              <w:spacing w:before="160" w:line="228" w:lineRule="auto"/>
              <w:ind w:left="133"/>
            </w:pPr>
            <w:r>
              <w:rPr>
                <w:b/>
                <w:bCs/>
                <w:spacing w:val="5"/>
              </w:rPr>
              <w:t>位考核</w:t>
            </w:r>
          </w:p>
          <w:p>
            <w:pPr>
              <w:pStyle w:val="11"/>
              <w:spacing w:before="164" w:line="226" w:lineRule="auto"/>
              <w:ind w:left="238"/>
            </w:pPr>
            <w:r>
              <w:rPr>
                <w:b/>
                <w:bCs/>
                <w:spacing w:val="4"/>
              </w:rPr>
              <w:t>评价</w:t>
            </w:r>
          </w:p>
        </w:tc>
        <w:tc>
          <w:tcPr>
            <w:tcW w:w="6163" w:type="dxa"/>
            <w:noWrap w:val="0"/>
            <w:vAlign w:val="top"/>
          </w:tcPr>
          <w:p>
            <w:pPr>
              <w:pStyle w:val="11"/>
              <w:spacing w:before="38" w:line="369" w:lineRule="auto"/>
              <w:ind w:left="112" w:right="173" w:firstLine="436"/>
            </w:pPr>
            <w:r>
              <w:rPr>
                <w:spacing w:val="8"/>
              </w:rPr>
              <w:t>1.对项目经理工作情况的评价：及时协助处理员工就餐反</w:t>
            </w:r>
            <w:r>
              <w:rPr>
                <w:spacing w:val="9"/>
              </w:rPr>
              <w:t>馈的投诉和建议并能给出相关的整改优化方案及进度；积极配合各项工作开展，例如运营细节、改造、维保、行业交流等；</w:t>
            </w:r>
            <w:r>
              <w:rPr>
                <w:spacing w:val="6"/>
              </w:rPr>
              <w:t xml:space="preserve"> </w:t>
            </w:r>
            <w:r>
              <w:rPr>
                <w:spacing w:val="9"/>
              </w:rPr>
              <w:t>每月按要求输出餐厅运营日记，并且内容准确无误、完整。</w:t>
            </w:r>
          </w:p>
          <w:p>
            <w:pPr>
              <w:pStyle w:val="11"/>
              <w:spacing w:before="33" w:line="371" w:lineRule="auto"/>
              <w:ind w:left="114" w:right="49" w:firstLine="421"/>
            </w:pPr>
            <w:r>
              <w:rPr>
                <w:spacing w:val="6"/>
              </w:rPr>
              <w:t>2.对厨师长工作情况的评价：应保证出品质量、菜品搭配，</w:t>
            </w:r>
            <w:r>
              <w:t xml:space="preserve"> </w:t>
            </w:r>
            <w:r>
              <w:rPr>
                <w:spacing w:val="9"/>
              </w:rPr>
              <w:t>提供热菜、凉菜、主食、汤，并提供豆浆、点心、水果等，需</w:t>
            </w:r>
            <w:r>
              <w:rPr>
                <w:spacing w:val="7"/>
              </w:rPr>
              <w:t xml:space="preserve">  </w:t>
            </w:r>
            <w:r>
              <w:rPr>
                <w:spacing w:val="8"/>
              </w:rPr>
              <w:t>要兼顾南北方口味等</w:t>
            </w:r>
            <w:r>
              <w:rPr>
                <w:spacing w:val="-38"/>
              </w:rPr>
              <w:t xml:space="preserve"> </w:t>
            </w:r>
            <w:r>
              <w:rPr>
                <w:spacing w:val="8"/>
              </w:rPr>
              <w:t>8</w:t>
            </w:r>
            <w:r>
              <w:rPr>
                <w:spacing w:val="-36"/>
              </w:rPr>
              <w:t xml:space="preserve"> </w:t>
            </w:r>
            <w:r>
              <w:rPr>
                <w:spacing w:val="8"/>
              </w:rPr>
              <w:t>大菜系，</w:t>
            </w:r>
            <w:r>
              <w:rPr>
                <w:spacing w:val="-59"/>
              </w:rPr>
              <w:t xml:space="preserve"> </w:t>
            </w:r>
            <w:r>
              <w:rPr>
                <w:spacing w:val="8"/>
              </w:rPr>
              <w:t>以粤菜为主</w:t>
            </w:r>
            <w:r>
              <w:rPr>
                <w:spacing w:val="7"/>
              </w:rPr>
              <w:t>，其余菜系为辅，</w:t>
            </w:r>
            <w:r>
              <w:t xml:space="preserve">  </w:t>
            </w:r>
            <w:r>
              <w:rPr>
                <w:spacing w:val="9"/>
              </w:rPr>
              <w:t>当天午餐与晚餐的菜单不得重复，并每月推出</w:t>
            </w:r>
            <w:r>
              <w:rPr>
                <w:spacing w:val="8"/>
              </w:rPr>
              <w:t>不少于</w:t>
            </w:r>
            <w:r>
              <w:rPr>
                <w:spacing w:val="-40"/>
              </w:rPr>
              <w:t xml:space="preserve"> </w:t>
            </w:r>
            <w:r>
              <w:rPr>
                <w:spacing w:val="8"/>
              </w:rPr>
              <w:t>4</w:t>
            </w:r>
            <w:r>
              <w:rPr>
                <w:spacing w:val="-38"/>
              </w:rPr>
              <w:t xml:space="preserve"> </w:t>
            </w:r>
            <w:r>
              <w:rPr>
                <w:spacing w:val="8"/>
              </w:rPr>
              <w:t>个品种</w:t>
            </w:r>
            <w:r>
              <w:t xml:space="preserve">  </w:t>
            </w:r>
            <w:r>
              <w:rPr>
                <w:spacing w:val="4"/>
              </w:rPr>
              <w:t>的菜式。</w:t>
            </w:r>
          </w:p>
          <w:p>
            <w:pPr>
              <w:pStyle w:val="11"/>
              <w:spacing w:before="31" w:line="368" w:lineRule="auto"/>
              <w:ind w:left="113" w:right="173" w:firstLine="424"/>
              <w:jc w:val="both"/>
            </w:pPr>
            <w:r>
              <w:rPr>
                <w:spacing w:val="9"/>
              </w:rPr>
              <w:t>3.对点心主管工作情况的评价：应保证出品质量、菜品搭</w:t>
            </w:r>
            <w:r>
              <w:rPr>
                <w:spacing w:val="8"/>
              </w:rPr>
              <w:t>配，</w:t>
            </w:r>
            <w:r>
              <w:rPr>
                <w:spacing w:val="-57"/>
              </w:rPr>
              <w:t xml:space="preserve"> </w:t>
            </w:r>
            <w:r>
              <w:rPr>
                <w:spacing w:val="8"/>
              </w:rPr>
              <w:t>以手工制作为主，兼顾南北方面点、中西方点心，并每月</w:t>
            </w:r>
            <w:r>
              <w:rPr>
                <w:spacing w:val="6"/>
              </w:rPr>
              <w:t>推出不少于</w:t>
            </w:r>
            <w:r>
              <w:rPr>
                <w:spacing w:val="-24"/>
              </w:rPr>
              <w:t xml:space="preserve"> </w:t>
            </w:r>
            <w:r>
              <w:rPr>
                <w:spacing w:val="6"/>
              </w:rPr>
              <w:t>2</w:t>
            </w:r>
            <w:r>
              <w:rPr>
                <w:spacing w:val="-38"/>
              </w:rPr>
              <w:t xml:space="preserve"> </w:t>
            </w:r>
            <w:r>
              <w:rPr>
                <w:spacing w:val="6"/>
              </w:rPr>
              <w:t>个品种新点心菜式。</w:t>
            </w:r>
          </w:p>
          <w:p>
            <w:pPr>
              <w:pStyle w:val="11"/>
              <w:spacing w:before="32" w:line="371" w:lineRule="auto"/>
              <w:ind w:left="114" w:right="173" w:firstLine="418"/>
              <w:jc w:val="both"/>
            </w:pPr>
            <w:r>
              <w:rPr>
                <w:spacing w:val="9"/>
              </w:rPr>
              <w:t>4.对服务主管工作情况的评价：监督服务员是否做好所有开餐准备工作，做到菜式、人员、价格三齐全；监督餐厅回收间卫生情况及回收效率；开餐前巡场，空调、灯光的开启及设备用具等是否到位确认，随时发现和解决问题，供餐结束后全</w:t>
            </w:r>
            <w:r>
              <w:rPr>
                <w:spacing w:val="4"/>
              </w:rPr>
              <w:t>部关闭。</w:t>
            </w:r>
          </w:p>
          <w:p>
            <w:pPr>
              <w:pStyle w:val="11"/>
              <w:spacing w:before="31" w:line="365" w:lineRule="auto"/>
              <w:ind w:left="116" w:right="226" w:firstLine="427"/>
              <w:jc w:val="both"/>
            </w:pPr>
            <w:r>
              <w:rPr>
                <w:spacing w:val="1"/>
              </w:rPr>
              <w:t>（评价为优秀的得</w:t>
            </w:r>
            <w:r>
              <w:rPr>
                <w:spacing w:val="-21"/>
              </w:rPr>
              <w:t xml:space="preserve"> </w:t>
            </w:r>
            <w:r>
              <w:rPr>
                <w:spacing w:val="1"/>
              </w:rPr>
              <w:t>5</w:t>
            </w:r>
            <w:r>
              <w:rPr>
                <w:spacing w:val="-35"/>
              </w:rPr>
              <w:t xml:space="preserve"> </w:t>
            </w:r>
            <w:r>
              <w:rPr>
                <w:spacing w:val="1"/>
              </w:rPr>
              <w:t>分，</w:t>
            </w:r>
            <w:r>
              <w:rPr>
                <w:spacing w:val="-50"/>
              </w:rPr>
              <w:t xml:space="preserve"> </w:t>
            </w:r>
            <w:r>
              <w:rPr>
                <w:spacing w:val="1"/>
              </w:rPr>
              <w:t>良好的得</w:t>
            </w:r>
            <w:r>
              <w:rPr>
                <w:spacing w:val="-37"/>
              </w:rPr>
              <w:t xml:space="preserve"> </w:t>
            </w:r>
            <w:r>
              <w:rPr>
                <w:spacing w:val="1"/>
              </w:rPr>
              <w:t>4</w:t>
            </w:r>
            <w:r>
              <w:rPr>
                <w:spacing w:val="-36"/>
              </w:rPr>
              <w:t xml:space="preserve"> </w:t>
            </w:r>
            <w:r>
              <w:rPr>
                <w:spacing w:val="1"/>
              </w:rPr>
              <w:t>分，较好的得</w:t>
            </w:r>
            <w:r>
              <w:rPr>
                <w:spacing w:val="-35"/>
              </w:rPr>
              <w:t xml:space="preserve"> </w:t>
            </w:r>
            <w:r>
              <w:rPr>
                <w:spacing w:val="1"/>
              </w:rPr>
              <w:t>3</w:t>
            </w:r>
            <w:r>
              <w:rPr>
                <w:spacing w:val="-35"/>
              </w:rPr>
              <w:t xml:space="preserve"> </w:t>
            </w:r>
            <w:r>
              <w:rPr>
                <w:spacing w:val="1"/>
              </w:rPr>
              <w:t>分，</w:t>
            </w:r>
            <w:r>
              <w:t xml:space="preserve"> </w:t>
            </w:r>
            <w:r>
              <w:rPr>
                <w:spacing w:val="6"/>
              </w:rPr>
              <w:t>一般的得</w:t>
            </w:r>
            <w:r>
              <w:rPr>
                <w:spacing w:val="-30"/>
              </w:rPr>
              <w:t xml:space="preserve"> </w:t>
            </w:r>
            <w:r>
              <w:rPr>
                <w:spacing w:val="6"/>
              </w:rPr>
              <w:t>2</w:t>
            </w:r>
            <w:r>
              <w:rPr>
                <w:spacing w:val="-35"/>
              </w:rPr>
              <w:t xml:space="preserve"> </w:t>
            </w:r>
            <w:r>
              <w:rPr>
                <w:spacing w:val="6"/>
              </w:rPr>
              <w:t>分，合格的得</w:t>
            </w:r>
            <w:r>
              <w:rPr>
                <w:spacing w:val="-21"/>
              </w:rPr>
              <w:t xml:space="preserve"> </w:t>
            </w:r>
            <w:r>
              <w:rPr>
                <w:spacing w:val="6"/>
              </w:rPr>
              <w:t>1</w:t>
            </w:r>
            <w:r>
              <w:rPr>
                <w:spacing w:val="-36"/>
              </w:rPr>
              <w:t xml:space="preserve"> </w:t>
            </w:r>
            <w:r>
              <w:rPr>
                <w:spacing w:val="6"/>
              </w:rPr>
              <w:t>分，较差或者差或者不合格的得</w:t>
            </w:r>
            <w:r>
              <w:rPr>
                <w:spacing w:val="-37"/>
              </w:rPr>
              <w:t xml:space="preserve"> </w:t>
            </w:r>
            <w:r>
              <w:rPr>
                <w:spacing w:val="6"/>
              </w:rPr>
              <w:t>0</w:t>
            </w:r>
            <w:r>
              <w:t xml:space="preserve"> </w:t>
            </w:r>
            <w:r>
              <w:rPr>
                <w:spacing w:val="6"/>
              </w:rPr>
              <w:t>分，</w:t>
            </w:r>
            <w:r>
              <w:rPr>
                <w:spacing w:val="-48"/>
              </w:rPr>
              <w:t xml:space="preserve"> </w:t>
            </w:r>
            <w:r>
              <w:rPr>
                <w:spacing w:val="6"/>
              </w:rPr>
              <w:t>以上述各人员个人分数汇总计算为准）</w:t>
            </w:r>
          </w:p>
        </w:tc>
        <w:tc>
          <w:tcPr>
            <w:tcW w:w="750" w:type="dxa"/>
            <w:noWrap w:val="0"/>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11"/>
              <w:spacing w:before="65" w:line="187" w:lineRule="auto"/>
              <w:ind w:left="311"/>
            </w:pPr>
            <w:r>
              <w:rPr>
                <w:b/>
                <w:bCs/>
                <w:spacing w:val="-3"/>
              </w:rPr>
              <w:t>5</w:t>
            </w:r>
          </w:p>
        </w:tc>
        <w:tc>
          <w:tcPr>
            <w:tcW w:w="787"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1162" w:type="dxa"/>
            <w:vMerge w:val="continue"/>
            <w:tcBorders>
              <w:top w:val="nil"/>
            </w:tcBorders>
            <w:noWrap w:val="0"/>
            <w:vAlign w:val="top"/>
          </w:tcPr>
          <w:p>
            <w:pPr>
              <w:rPr>
                <w:rFonts w:ascii="Arial"/>
                <w:sz w:val="21"/>
              </w:rPr>
            </w:pPr>
          </w:p>
        </w:tc>
        <w:tc>
          <w:tcPr>
            <w:tcW w:w="1050" w:type="dxa"/>
            <w:noWrap w:val="0"/>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pStyle w:val="11"/>
              <w:spacing w:before="65" w:line="367" w:lineRule="auto"/>
              <w:ind w:left="135" w:right="129"/>
              <w:jc w:val="both"/>
            </w:pPr>
            <w:r>
              <w:rPr>
                <w:b/>
                <w:bCs/>
                <w:spacing w:val="5"/>
              </w:rPr>
              <w:t>成本核</w:t>
            </w:r>
            <w:r>
              <w:t xml:space="preserve"> </w:t>
            </w:r>
            <w:r>
              <w:rPr>
                <w:b/>
                <w:bCs/>
                <w:spacing w:val="5"/>
              </w:rPr>
              <w:t>算情况</w:t>
            </w:r>
            <w:r>
              <w:t xml:space="preserve"> </w:t>
            </w:r>
            <w:r>
              <w:rPr>
                <w:b/>
                <w:bCs/>
                <w:spacing w:val="15"/>
                <w:w w:val="120"/>
              </w:rPr>
              <w:t>评价</w:t>
            </w:r>
          </w:p>
        </w:tc>
        <w:tc>
          <w:tcPr>
            <w:tcW w:w="6163" w:type="dxa"/>
            <w:noWrap w:val="0"/>
            <w:vAlign w:val="top"/>
          </w:tcPr>
          <w:p>
            <w:pPr>
              <w:pStyle w:val="11"/>
              <w:spacing w:before="35" w:line="372" w:lineRule="auto"/>
              <w:ind w:left="113" w:right="173" w:firstLine="435"/>
            </w:pPr>
            <w:r>
              <w:rPr>
                <w:spacing w:val="7"/>
              </w:rPr>
              <w:t>1.职工餐（含堂食、过时餐、配送餐）</w:t>
            </w:r>
            <w:r>
              <w:rPr>
                <w:spacing w:val="-58"/>
              </w:rPr>
              <w:t xml:space="preserve"> </w:t>
            </w:r>
            <w:r>
              <w:rPr>
                <w:spacing w:val="7"/>
              </w:rPr>
              <w:t>以“收支平</w:t>
            </w:r>
            <w:r>
              <w:rPr>
                <w:spacing w:val="6"/>
              </w:rPr>
              <w:t>衡、略</w:t>
            </w:r>
            <w:r>
              <w:rPr>
                <w:spacing w:val="8"/>
              </w:rPr>
              <w:t>有盈余</w:t>
            </w:r>
            <w:r>
              <w:rPr>
                <w:spacing w:val="-57"/>
              </w:rPr>
              <w:t xml:space="preserve"> </w:t>
            </w:r>
            <w:r>
              <w:rPr>
                <w:spacing w:val="8"/>
              </w:rPr>
              <w:t>”的经营理念进行管理，仅核算变动成本（如食材、餐</w:t>
            </w:r>
            <w:r>
              <w:t xml:space="preserve"> </w:t>
            </w:r>
            <w:r>
              <w:rPr>
                <w:spacing w:val="9"/>
              </w:rPr>
              <w:t>具、耗材、水电费、燃气费等随就餐量变化而变化的成本</w:t>
            </w:r>
            <w:r>
              <w:rPr>
                <w:spacing w:val="17"/>
              </w:rPr>
              <w:t>），</w:t>
            </w:r>
            <w:r>
              <w:rPr>
                <w:spacing w:val="9"/>
              </w:rPr>
              <w:t>剔除人力成本与折旧成本后，做到收支平衡，略有盈余，并保证每月略有盈余，如因非不可抗力因素导致未达要求，</w:t>
            </w:r>
            <w:r>
              <w:rPr>
                <w:spacing w:val="6"/>
              </w:rPr>
              <w:t>并扣罚</w:t>
            </w:r>
            <w:r>
              <w:rPr>
                <w:spacing w:val="-26"/>
              </w:rPr>
              <w:t xml:space="preserve"> </w:t>
            </w:r>
            <w:r>
              <w:rPr>
                <w:spacing w:val="6"/>
              </w:rPr>
              <w:t>5</w:t>
            </w:r>
            <w:r>
              <w:rPr>
                <w:spacing w:val="-36"/>
              </w:rPr>
              <w:t xml:space="preserve"> </w:t>
            </w:r>
            <w:r>
              <w:rPr>
                <w:spacing w:val="6"/>
              </w:rPr>
              <w:t>分。</w:t>
            </w:r>
          </w:p>
          <w:p>
            <w:pPr>
              <w:pStyle w:val="11"/>
              <w:spacing w:before="30" w:line="362" w:lineRule="auto"/>
              <w:ind w:left="114" w:right="175" w:firstLine="421"/>
            </w:pPr>
            <w:r>
              <w:rPr>
                <w:spacing w:val="9"/>
              </w:rPr>
              <w:t>2.中标人应在菜单实施前，提供每份菜式的成本分析报告</w:t>
            </w:r>
            <w:r>
              <w:rPr>
                <w:spacing w:val="7"/>
              </w:rPr>
              <w:t>给</w:t>
            </w:r>
            <w:r>
              <w:rPr>
                <w:rFonts w:hint="eastAsia"/>
                <w:spacing w:val="7"/>
                <w:lang w:eastAsia="zh-CN"/>
              </w:rPr>
              <w:t>招标人</w:t>
            </w:r>
            <w:r>
              <w:rPr>
                <w:spacing w:val="7"/>
              </w:rPr>
              <w:t>复核，如未达要求，每次扣罚</w:t>
            </w:r>
            <w:r>
              <w:rPr>
                <w:spacing w:val="-26"/>
              </w:rPr>
              <w:t xml:space="preserve"> </w:t>
            </w:r>
            <w:r>
              <w:rPr>
                <w:spacing w:val="7"/>
              </w:rPr>
              <w:t>5</w:t>
            </w:r>
            <w:r>
              <w:rPr>
                <w:spacing w:val="-35"/>
              </w:rPr>
              <w:t xml:space="preserve"> </w:t>
            </w:r>
            <w:r>
              <w:rPr>
                <w:spacing w:val="7"/>
              </w:rPr>
              <w:t>分。</w:t>
            </w:r>
          </w:p>
          <w:p>
            <w:pPr>
              <w:pStyle w:val="11"/>
              <w:spacing w:before="34" w:line="358" w:lineRule="auto"/>
              <w:ind w:left="116" w:right="121" w:firstLine="421"/>
            </w:pPr>
            <w:r>
              <w:rPr>
                <w:spacing w:val="6"/>
              </w:rPr>
              <w:t>3.每餐售卖剩余的食品应低于</w:t>
            </w:r>
            <w:r>
              <w:rPr>
                <w:spacing w:val="-27"/>
              </w:rPr>
              <w:t xml:space="preserve"> </w:t>
            </w:r>
            <w:r>
              <w:rPr>
                <w:spacing w:val="6"/>
              </w:rPr>
              <w:t>5%，发现超过</w:t>
            </w:r>
            <w:r>
              <w:rPr>
                <w:spacing w:val="-33"/>
              </w:rPr>
              <w:t xml:space="preserve"> </w:t>
            </w:r>
            <w:r>
              <w:rPr>
                <w:spacing w:val="6"/>
              </w:rPr>
              <w:t>5%，每次扣</w:t>
            </w:r>
            <w:r>
              <w:rPr>
                <w:spacing w:val="-21"/>
              </w:rPr>
              <w:t xml:space="preserve"> </w:t>
            </w:r>
            <w:r>
              <w:rPr>
                <w:spacing w:val="6"/>
              </w:rPr>
              <w:t>1</w:t>
            </w:r>
            <w:r>
              <w:t xml:space="preserve"> </w:t>
            </w:r>
            <w:r>
              <w:rPr>
                <w:spacing w:val="-1"/>
              </w:rPr>
              <w:t>分。</w:t>
            </w:r>
          </w:p>
        </w:tc>
        <w:tc>
          <w:tcPr>
            <w:tcW w:w="750" w:type="dxa"/>
            <w:noWrap w:val="0"/>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11"/>
              <w:spacing w:before="65" w:line="187" w:lineRule="auto"/>
              <w:ind w:left="311"/>
            </w:pPr>
            <w:r>
              <w:rPr>
                <w:b/>
                <w:bCs/>
                <w:spacing w:val="-3"/>
              </w:rPr>
              <w:t>5</w:t>
            </w:r>
          </w:p>
        </w:tc>
        <w:tc>
          <w:tcPr>
            <w:tcW w:w="787"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162" w:type="dxa"/>
            <w:vMerge w:val="restart"/>
            <w:tcBorders>
              <w:bottom w:val="nil"/>
            </w:tcBorders>
            <w:noWrap w:val="0"/>
            <w:vAlign w:val="top"/>
          </w:tcPr>
          <w:p>
            <w:pPr>
              <w:spacing w:line="292" w:lineRule="auto"/>
              <w:rPr>
                <w:rFonts w:ascii="Arial"/>
                <w:sz w:val="21"/>
              </w:rPr>
            </w:pPr>
          </w:p>
          <w:p>
            <w:pPr>
              <w:spacing w:line="292" w:lineRule="auto"/>
              <w:rPr>
                <w:rFonts w:ascii="Arial"/>
                <w:sz w:val="21"/>
              </w:rPr>
            </w:pPr>
          </w:p>
          <w:p>
            <w:pPr>
              <w:pStyle w:val="11"/>
              <w:spacing w:before="65" w:line="228" w:lineRule="auto"/>
              <w:ind w:left="207"/>
            </w:pPr>
            <w:r>
              <w:rPr>
                <w:b/>
                <w:bCs/>
                <w:spacing w:val="5"/>
              </w:rPr>
              <w:t>加分项</w:t>
            </w:r>
          </w:p>
        </w:tc>
        <w:tc>
          <w:tcPr>
            <w:tcW w:w="1050" w:type="dxa"/>
            <w:noWrap w:val="0"/>
            <w:vAlign w:val="top"/>
          </w:tcPr>
          <w:p>
            <w:pPr>
              <w:pStyle w:val="11"/>
              <w:spacing w:before="239" w:line="228" w:lineRule="auto"/>
              <w:ind w:left="138"/>
            </w:pPr>
            <w:r>
              <w:rPr>
                <w:b/>
                <w:bCs/>
                <w:spacing w:val="3"/>
              </w:rPr>
              <w:t>管理类</w:t>
            </w:r>
          </w:p>
        </w:tc>
        <w:tc>
          <w:tcPr>
            <w:tcW w:w="6163" w:type="dxa"/>
            <w:noWrap w:val="0"/>
            <w:vAlign w:val="top"/>
          </w:tcPr>
          <w:p>
            <w:pPr>
              <w:pStyle w:val="11"/>
              <w:spacing w:before="35" w:line="359" w:lineRule="auto"/>
              <w:ind w:left="112" w:right="173"/>
            </w:pPr>
            <w:r>
              <w:rPr>
                <w:spacing w:val="9"/>
              </w:rPr>
              <w:t>在日常运营细节中提高效能、用餐体验等方面的优化，最高可</w:t>
            </w:r>
            <w:r>
              <w:rPr>
                <w:spacing w:val="-3"/>
              </w:rPr>
              <w:t>加</w:t>
            </w:r>
            <w:r>
              <w:rPr>
                <w:spacing w:val="-33"/>
              </w:rPr>
              <w:t xml:space="preserve"> </w:t>
            </w:r>
            <w:r>
              <w:rPr>
                <w:spacing w:val="-3"/>
              </w:rPr>
              <w:t>5</w:t>
            </w:r>
            <w:r>
              <w:rPr>
                <w:spacing w:val="-36"/>
              </w:rPr>
              <w:t xml:space="preserve"> </w:t>
            </w:r>
            <w:r>
              <w:rPr>
                <w:spacing w:val="-3"/>
              </w:rPr>
              <w:t>分。</w:t>
            </w:r>
          </w:p>
        </w:tc>
        <w:tc>
          <w:tcPr>
            <w:tcW w:w="1537" w:type="dxa"/>
            <w:gridSpan w:val="2"/>
            <w:vMerge w:val="restart"/>
            <w:tcBorders>
              <w:bottom w:val="nil"/>
            </w:tcBorders>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162" w:type="dxa"/>
            <w:vMerge w:val="continue"/>
            <w:tcBorders>
              <w:top w:val="nil"/>
            </w:tcBorders>
            <w:noWrap w:val="0"/>
            <w:vAlign w:val="top"/>
          </w:tcPr>
          <w:p>
            <w:pPr>
              <w:rPr>
                <w:rFonts w:ascii="Arial"/>
                <w:sz w:val="21"/>
              </w:rPr>
            </w:pPr>
          </w:p>
        </w:tc>
        <w:tc>
          <w:tcPr>
            <w:tcW w:w="1050" w:type="dxa"/>
            <w:noWrap w:val="0"/>
            <w:vAlign w:val="top"/>
          </w:tcPr>
          <w:p>
            <w:pPr>
              <w:pStyle w:val="11"/>
              <w:spacing w:before="239" w:line="228" w:lineRule="auto"/>
              <w:ind w:left="133"/>
            </w:pPr>
            <w:r>
              <w:rPr>
                <w:b/>
                <w:bCs/>
                <w:spacing w:val="5"/>
              </w:rPr>
              <w:t>运营类</w:t>
            </w:r>
          </w:p>
        </w:tc>
        <w:tc>
          <w:tcPr>
            <w:tcW w:w="6163" w:type="dxa"/>
            <w:noWrap w:val="0"/>
            <w:vAlign w:val="top"/>
          </w:tcPr>
          <w:p>
            <w:pPr>
              <w:pStyle w:val="11"/>
              <w:spacing w:before="36" w:line="359" w:lineRule="auto"/>
              <w:ind w:left="114" w:right="173" w:hanging="1"/>
            </w:pPr>
            <w:r>
              <w:rPr>
                <w:spacing w:val="9"/>
              </w:rPr>
              <w:t>某餐线产品优化后有较大变化，消费人次大于招标文件的预计</w:t>
            </w:r>
            <w:r>
              <w:rPr>
                <w:spacing w:val="5"/>
              </w:rPr>
              <w:t>就餐人次</w:t>
            </w:r>
            <w:r>
              <w:rPr>
                <w:spacing w:val="-35"/>
              </w:rPr>
              <w:t xml:space="preserve"> </w:t>
            </w:r>
            <w:r>
              <w:rPr>
                <w:spacing w:val="5"/>
              </w:rPr>
              <w:t>5%以上时，每超</w:t>
            </w:r>
            <w:r>
              <w:rPr>
                <w:spacing w:val="-35"/>
              </w:rPr>
              <w:t xml:space="preserve"> </w:t>
            </w:r>
            <w:r>
              <w:rPr>
                <w:spacing w:val="5"/>
              </w:rPr>
              <w:t>2%加</w:t>
            </w:r>
            <w:r>
              <w:rPr>
                <w:spacing w:val="-34"/>
              </w:rPr>
              <w:t xml:space="preserve"> </w:t>
            </w:r>
            <w:r>
              <w:rPr>
                <w:spacing w:val="5"/>
              </w:rPr>
              <w:t>2</w:t>
            </w:r>
            <w:r>
              <w:rPr>
                <w:spacing w:val="-38"/>
              </w:rPr>
              <w:t xml:space="preserve"> </w:t>
            </w:r>
            <w:r>
              <w:rPr>
                <w:spacing w:val="5"/>
              </w:rPr>
              <w:t>分，最高可加</w:t>
            </w:r>
            <w:r>
              <w:rPr>
                <w:spacing w:val="-32"/>
              </w:rPr>
              <w:t xml:space="preserve"> </w:t>
            </w:r>
            <w:r>
              <w:rPr>
                <w:spacing w:val="4"/>
              </w:rPr>
              <w:t>5</w:t>
            </w:r>
            <w:r>
              <w:rPr>
                <w:spacing w:val="-36"/>
              </w:rPr>
              <w:t xml:space="preserve"> </w:t>
            </w:r>
            <w:r>
              <w:rPr>
                <w:spacing w:val="4"/>
              </w:rPr>
              <w:t>分。</w:t>
            </w:r>
          </w:p>
        </w:tc>
        <w:tc>
          <w:tcPr>
            <w:tcW w:w="1537" w:type="dxa"/>
            <w:gridSpan w:val="2"/>
            <w:vMerge w:val="continue"/>
            <w:tcBorders>
              <w:top w:val="nil"/>
            </w:tcBorders>
            <w:noWrap w:val="0"/>
            <w:vAlign w:val="top"/>
          </w:tcPr>
          <w:p>
            <w:pPr>
              <w:rPr>
                <w:rFonts w:ascii="Arial"/>
                <w:sz w:val="21"/>
              </w:rPr>
            </w:pPr>
          </w:p>
        </w:tc>
      </w:tr>
    </w:tbl>
    <w:tbl>
      <w:tblPr>
        <w:tblStyle w:val="12"/>
        <w:tblpPr w:leftFromText="180" w:rightFromText="180" w:vertAnchor="text" w:horzAnchor="page" w:tblpX="1033" w:tblpY="4"/>
        <w:tblOverlap w:val="never"/>
        <w:tblW w:w="993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1"/>
        <w:gridCol w:w="1038"/>
        <w:gridCol w:w="6150"/>
        <w:gridCol w:w="15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171" w:type="dxa"/>
            <w:noWrap w:val="0"/>
            <w:vAlign w:val="top"/>
          </w:tcPr>
          <w:p>
            <w:pPr>
              <w:rPr>
                <w:rFonts w:ascii="Arial"/>
                <w:sz w:val="21"/>
              </w:rPr>
            </w:pPr>
          </w:p>
        </w:tc>
        <w:tc>
          <w:tcPr>
            <w:tcW w:w="1038" w:type="dxa"/>
            <w:noWrap w:val="0"/>
            <w:vAlign w:val="top"/>
          </w:tcPr>
          <w:p>
            <w:pPr>
              <w:pStyle w:val="11"/>
              <w:spacing w:before="240" w:line="228" w:lineRule="auto"/>
              <w:ind w:left="133"/>
            </w:pPr>
            <w:r>
              <w:rPr>
                <w:b/>
                <w:bCs/>
                <w:spacing w:val="5"/>
              </w:rPr>
              <w:t>创新类</w:t>
            </w:r>
          </w:p>
        </w:tc>
        <w:tc>
          <w:tcPr>
            <w:tcW w:w="6150" w:type="dxa"/>
            <w:noWrap w:val="0"/>
            <w:vAlign w:val="top"/>
          </w:tcPr>
          <w:p>
            <w:pPr>
              <w:pStyle w:val="11"/>
              <w:spacing w:before="38" w:line="359" w:lineRule="auto"/>
              <w:ind w:left="131" w:right="175" w:firstLine="1"/>
            </w:pPr>
            <w:r>
              <w:rPr>
                <w:spacing w:val="8"/>
              </w:rPr>
              <w:t>中厨每月推出新菜数量为a，可加(a-5)×</w:t>
            </w:r>
            <w:r>
              <w:rPr>
                <w:spacing w:val="-67"/>
              </w:rPr>
              <w:t xml:space="preserve"> </w:t>
            </w:r>
            <w:r>
              <w:rPr>
                <w:spacing w:val="8"/>
              </w:rPr>
              <w:t>1</w:t>
            </w:r>
            <w:r>
              <w:rPr>
                <w:spacing w:val="-36"/>
              </w:rPr>
              <w:t xml:space="preserve"> </w:t>
            </w:r>
            <w:r>
              <w:rPr>
                <w:spacing w:val="8"/>
              </w:rPr>
              <w:t>分，点心部每月推</w:t>
            </w:r>
            <w:r>
              <w:rPr>
                <w:spacing w:val="6"/>
              </w:rPr>
              <w:t>出新菜数量为b，可加(b-4)×</w:t>
            </w:r>
            <w:r>
              <w:rPr>
                <w:spacing w:val="-64"/>
              </w:rPr>
              <w:t xml:space="preserve"> </w:t>
            </w:r>
            <w:r>
              <w:rPr>
                <w:spacing w:val="6"/>
              </w:rPr>
              <w:t>1</w:t>
            </w:r>
            <w:r>
              <w:rPr>
                <w:spacing w:val="-35"/>
              </w:rPr>
              <w:t xml:space="preserve"> </w:t>
            </w:r>
            <w:r>
              <w:rPr>
                <w:spacing w:val="6"/>
              </w:rPr>
              <w:t>分，本项最高可加</w:t>
            </w:r>
            <w:r>
              <w:rPr>
                <w:spacing w:val="-24"/>
              </w:rPr>
              <w:t xml:space="preserve"> </w:t>
            </w:r>
            <w:r>
              <w:rPr>
                <w:spacing w:val="6"/>
              </w:rPr>
              <w:t>10</w:t>
            </w:r>
            <w:r>
              <w:rPr>
                <w:spacing w:val="-35"/>
              </w:rPr>
              <w:t xml:space="preserve"> </w:t>
            </w:r>
            <w:r>
              <w:rPr>
                <w:spacing w:val="6"/>
              </w:rPr>
              <w:t>分。</w:t>
            </w:r>
          </w:p>
        </w:tc>
        <w:tc>
          <w:tcPr>
            <w:tcW w:w="1575" w:type="dxa"/>
            <w:noWrap w:val="0"/>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1" w:hRule="atLeast"/>
        </w:trPr>
        <w:tc>
          <w:tcPr>
            <w:tcW w:w="1171" w:type="dxa"/>
            <w:noWrap w:val="0"/>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11"/>
              <w:spacing w:before="65" w:line="362" w:lineRule="auto"/>
              <w:ind w:left="316" w:right="198" w:hanging="106"/>
            </w:pPr>
            <w:r>
              <w:rPr>
                <w:b/>
                <w:bCs/>
                <w:spacing w:val="4"/>
              </w:rPr>
              <w:t>一票否</w:t>
            </w:r>
            <w:r>
              <w:t xml:space="preserve"> </w:t>
            </w:r>
            <w:r>
              <w:rPr>
                <w:b/>
                <w:bCs/>
              </w:rPr>
              <w:t>决项</w:t>
            </w:r>
          </w:p>
        </w:tc>
        <w:tc>
          <w:tcPr>
            <w:tcW w:w="8763" w:type="dxa"/>
            <w:gridSpan w:val="3"/>
            <w:noWrap w:val="0"/>
            <w:vAlign w:val="top"/>
          </w:tcPr>
          <w:p>
            <w:pPr>
              <w:pStyle w:val="11"/>
              <w:spacing w:before="31" w:line="227" w:lineRule="auto"/>
              <w:ind w:left="127"/>
            </w:pPr>
            <w:r>
              <w:rPr>
                <w:spacing w:val="8"/>
              </w:rPr>
              <w:t>1.损害</w:t>
            </w:r>
            <w:r>
              <w:rPr>
                <w:rFonts w:hint="eastAsia"/>
                <w:spacing w:val="8"/>
                <w:lang w:eastAsia="zh-CN"/>
              </w:rPr>
              <w:t>招标人</w:t>
            </w:r>
            <w:r>
              <w:rPr>
                <w:spacing w:val="8"/>
              </w:rPr>
              <w:t>利益、名誉、影响</w:t>
            </w:r>
            <w:r>
              <w:rPr>
                <w:rFonts w:hint="eastAsia"/>
                <w:spacing w:val="8"/>
                <w:lang w:eastAsia="zh-CN"/>
              </w:rPr>
              <w:t>招标人</w:t>
            </w:r>
            <w:r>
              <w:rPr>
                <w:spacing w:val="8"/>
              </w:rPr>
              <w:t>正常运行的行为；</w:t>
            </w:r>
          </w:p>
          <w:p>
            <w:pPr>
              <w:pStyle w:val="11"/>
              <w:spacing w:before="162" w:line="364" w:lineRule="auto"/>
              <w:ind w:left="111" w:right="120" w:firstLine="2"/>
            </w:pPr>
            <w:r>
              <w:rPr>
                <w:spacing w:val="9"/>
              </w:rPr>
              <w:t>2.因中标人工作人员不规范操作导致引起食物中毒等食品安全事故、消防安全事故等安</w:t>
            </w:r>
            <w:r>
              <w:rPr>
                <w:spacing w:val="14"/>
              </w:rPr>
              <w:t xml:space="preserve"> </w:t>
            </w:r>
            <w:r>
              <w:rPr>
                <w:spacing w:val="6"/>
              </w:rPr>
              <w:t>全生产问题；</w:t>
            </w:r>
          </w:p>
          <w:p>
            <w:pPr>
              <w:pStyle w:val="11"/>
              <w:spacing w:before="28" w:line="362" w:lineRule="auto"/>
              <w:ind w:left="111" w:right="3322" w:firstLine="5"/>
              <w:rPr>
                <w:spacing w:val="18"/>
              </w:rPr>
            </w:pPr>
            <w:r>
              <w:rPr>
                <w:spacing w:val="6"/>
              </w:rPr>
              <w:t>3.发现中标人与配送公司串通，虚报配送材料数量；</w:t>
            </w:r>
            <w:r>
              <w:rPr>
                <w:spacing w:val="18"/>
              </w:rPr>
              <w:t xml:space="preserve"> </w:t>
            </w:r>
          </w:p>
          <w:p>
            <w:pPr>
              <w:pStyle w:val="11"/>
              <w:spacing w:before="28" w:line="362" w:lineRule="auto"/>
              <w:ind w:left="111" w:right="3322" w:firstLine="5"/>
            </w:pPr>
            <w:r>
              <w:rPr>
                <w:spacing w:val="8"/>
              </w:rPr>
              <w:t>4.提供虚假发票、虚假货物入库单；</w:t>
            </w:r>
          </w:p>
          <w:p>
            <w:pPr>
              <w:pStyle w:val="11"/>
              <w:spacing w:before="32" w:line="227" w:lineRule="auto"/>
              <w:ind w:left="116"/>
            </w:pPr>
            <w:r>
              <w:rPr>
                <w:spacing w:val="9"/>
              </w:rPr>
              <w:t>5.中标人关键岗位驻场人员资质不符合</w:t>
            </w:r>
            <w:r>
              <w:rPr>
                <w:rFonts w:hint="eastAsia"/>
                <w:spacing w:val="9"/>
                <w:lang w:eastAsia="zh-CN"/>
              </w:rPr>
              <w:t>招标人</w:t>
            </w:r>
            <w:r>
              <w:rPr>
                <w:spacing w:val="8"/>
              </w:rPr>
              <w:t>要求且拒不整改。</w:t>
            </w:r>
          </w:p>
          <w:p>
            <w:pPr>
              <w:pStyle w:val="11"/>
              <w:spacing w:before="163" w:line="359" w:lineRule="auto"/>
              <w:ind w:left="115" w:right="120" w:firstLine="6"/>
            </w:pPr>
            <w:r>
              <w:rPr>
                <w:spacing w:val="9"/>
              </w:rPr>
              <w:t>（若出现上述情况，</w:t>
            </w:r>
            <w:r>
              <w:rPr>
                <w:rFonts w:hint="eastAsia"/>
                <w:spacing w:val="9"/>
                <w:lang w:eastAsia="zh-CN"/>
              </w:rPr>
              <w:t>招标人</w:t>
            </w:r>
            <w:r>
              <w:rPr>
                <w:spacing w:val="9"/>
              </w:rPr>
              <w:t>有权没收履约保证金，并终止合同，所</w:t>
            </w:r>
            <w:r>
              <w:rPr>
                <w:spacing w:val="8"/>
              </w:rPr>
              <w:t>发生的一切损失由中标人负责）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171" w:type="dxa"/>
            <w:noWrap w:val="0"/>
            <w:vAlign w:val="top"/>
          </w:tcPr>
          <w:p>
            <w:pPr>
              <w:pStyle w:val="11"/>
              <w:spacing w:before="34" w:line="359" w:lineRule="auto"/>
              <w:ind w:left="418" w:right="198" w:hanging="211"/>
            </w:pPr>
            <w:r>
              <w:rPr>
                <w:b/>
                <w:bCs/>
                <w:spacing w:val="5"/>
              </w:rPr>
              <w:t>考核得</w:t>
            </w:r>
            <w:r>
              <w:t xml:space="preserve"> </w:t>
            </w:r>
            <w:r>
              <w:rPr>
                <w:b/>
                <w:bCs/>
                <w:spacing w:val="-3"/>
              </w:rPr>
              <w:t>分</w:t>
            </w:r>
          </w:p>
        </w:tc>
        <w:tc>
          <w:tcPr>
            <w:tcW w:w="8763" w:type="dxa"/>
            <w:gridSpan w:val="3"/>
            <w:noWrap w:val="0"/>
            <w:vAlign w:val="top"/>
          </w:tcPr>
          <w:p>
            <w:pPr>
              <w:pStyle w:val="11"/>
              <w:spacing w:before="238" w:line="228" w:lineRule="auto"/>
              <w:rPr>
                <w:rFonts w:hint="default" w:eastAsia="宋体"/>
                <w:u w:val="single"/>
                <w:lang w:val="en-US" w:eastAsia="zh-CN"/>
              </w:rPr>
            </w:pPr>
            <w:r>
              <w:rPr>
                <w:rFonts w:hint="eastAsia"/>
                <w:u w:val="single"/>
                <w:lang w:val="en-US" w:eastAsia="zh-CN"/>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1171" w:type="dxa"/>
            <w:noWrap w:val="0"/>
            <w:vAlign w:val="top"/>
          </w:tcPr>
          <w:p>
            <w:pPr>
              <w:spacing w:line="246" w:lineRule="auto"/>
              <w:rPr>
                <w:rFonts w:ascii="Arial"/>
                <w:sz w:val="21"/>
              </w:rPr>
            </w:pPr>
          </w:p>
          <w:p>
            <w:pPr>
              <w:pStyle w:val="11"/>
              <w:spacing w:before="65" w:line="362" w:lineRule="auto"/>
              <w:ind w:left="419" w:right="198" w:hanging="209"/>
              <w:rPr>
                <w:b/>
                <w:bCs/>
                <w:spacing w:val="4"/>
              </w:rPr>
            </w:pPr>
            <w:r>
              <w:rPr>
                <w:b/>
                <w:bCs/>
                <w:spacing w:val="4"/>
              </w:rPr>
              <w:t>扣</w:t>
            </w:r>
            <w:r>
              <w:rPr>
                <w:rFonts w:hint="eastAsia"/>
                <w:b/>
                <w:bCs/>
                <w:spacing w:val="4"/>
                <w:lang w:val="en-US" w:eastAsia="zh-CN"/>
              </w:rPr>
              <w:t xml:space="preserve"> </w:t>
            </w:r>
            <w:bookmarkStart w:id="2" w:name="_GoBack"/>
            <w:bookmarkEnd w:id="2"/>
            <w:r>
              <w:rPr>
                <w:b/>
                <w:bCs/>
                <w:spacing w:val="4"/>
              </w:rPr>
              <w:t>罚</w:t>
            </w:r>
          </w:p>
          <w:p>
            <w:pPr>
              <w:pStyle w:val="11"/>
              <w:spacing w:before="65" w:line="362" w:lineRule="auto"/>
              <w:ind w:left="419" w:right="198" w:hanging="209"/>
            </w:pPr>
            <w:r>
              <w:rPr>
                <w:b/>
                <w:bCs/>
                <w:spacing w:val="4"/>
              </w:rPr>
              <w:t>规</w:t>
            </w:r>
            <w:r>
              <w:t xml:space="preserve"> </w:t>
            </w:r>
            <w:r>
              <w:rPr>
                <w:b/>
                <w:bCs/>
                <w:spacing w:val="-3"/>
              </w:rPr>
              <w:t>则</w:t>
            </w:r>
          </w:p>
        </w:tc>
        <w:tc>
          <w:tcPr>
            <w:tcW w:w="8763" w:type="dxa"/>
            <w:gridSpan w:val="3"/>
            <w:noWrap w:val="0"/>
            <w:vAlign w:val="top"/>
          </w:tcPr>
          <w:p>
            <w:pPr>
              <w:pStyle w:val="11"/>
              <w:spacing w:before="32" w:line="359" w:lineRule="auto"/>
              <w:ind w:left="111" w:right="108" w:firstLine="424" w:firstLineChars="200"/>
            </w:pPr>
            <w:r>
              <w:rPr>
                <w:spacing w:val="6"/>
              </w:rPr>
              <w:t>合同期内</w:t>
            </w:r>
            <w:r>
              <w:rPr>
                <w:rFonts w:hint="eastAsia"/>
                <w:spacing w:val="6"/>
                <w:lang w:eastAsia="zh-CN"/>
              </w:rPr>
              <w:t>累计</w:t>
            </w:r>
            <w:r>
              <w:rPr>
                <w:rFonts w:hint="eastAsia"/>
                <w:spacing w:val="6"/>
                <w:lang w:val="en-US" w:eastAsia="zh-CN"/>
              </w:rPr>
              <w:t>两</w:t>
            </w:r>
            <w:r>
              <w:rPr>
                <w:rFonts w:hint="eastAsia"/>
                <w:spacing w:val="6"/>
                <w:lang w:eastAsia="zh-CN"/>
              </w:rPr>
              <w:t>次</w:t>
            </w:r>
            <w:r>
              <w:rPr>
                <w:spacing w:val="6"/>
              </w:rPr>
              <w:t>服务质量考核得分低于</w:t>
            </w:r>
            <w:r>
              <w:rPr>
                <w:rFonts w:hint="eastAsia"/>
                <w:spacing w:val="-24"/>
                <w:lang w:val="en-US" w:eastAsia="zh-CN"/>
              </w:rPr>
              <w:t>7</w:t>
            </w:r>
            <w:r>
              <w:rPr>
                <w:spacing w:val="6"/>
              </w:rPr>
              <w:t>0</w:t>
            </w:r>
            <w:r>
              <w:rPr>
                <w:spacing w:val="-38"/>
              </w:rPr>
              <w:t xml:space="preserve"> </w:t>
            </w:r>
            <w:r>
              <w:rPr>
                <w:spacing w:val="6"/>
              </w:rPr>
              <w:t>分，且无任何改善措施，</w:t>
            </w:r>
            <w:r>
              <w:rPr>
                <w:rFonts w:hint="eastAsia"/>
                <w:spacing w:val="6"/>
                <w:lang w:eastAsia="zh-CN"/>
              </w:rPr>
              <w:t>招标人</w:t>
            </w:r>
            <w:r>
              <w:rPr>
                <w:spacing w:val="6"/>
              </w:rPr>
              <w:t>可无条</w:t>
            </w:r>
            <w:r>
              <w:t xml:space="preserve"> </w:t>
            </w:r>
            <w:r>
              <w:rPr>
                <w:spacing w:val="9"/>
              </w:rPr>
              <w:t>件将中标人清退。所发生的一切损失由中标人负责。</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EE090"/>
    <w:multiLevelType w:val="singleLevel"/>
    <w:tmpl w:val="BBFEE090"/>
    <w:lvl w:ilvl="0" w:tentative="0">
      <w:start w:val="2"/>
      <w:numFmt w:val="chineseCounting"/>
      <w:suff w:val="nothing"/>
      <w:lvlText w:val="（%1）"/>
      <w:lvlJc w:val="left"/>
      <w:rPr>
        <w:rFonts w:hint="eastAsia"/>
      </w:rPr>
    </w:lvl>
  </w:abstractNum>
  <w:abstractNum w:abstractNumId="1">
    <w:nsid w:val="6CF69A70"/>
    <w:multiLevelType w:val="singleLevel"/>
    <w:tmpl w:val="6CF69A70"/>
    <w:lvl w:ilvl="0" w:tentative="0">
      <w:start w:val="6"/>
      <w:numFmt w:val="chineseCounting"/>
      <w:suff w:val="nothing"/>
      <w:lvlText w:val="（%1）"/>
      <w:lvlJc w:val="left"/>
      <w:rPr>
        <w:rFonts w:hint="eastAsia"/>
      </w:rPr>
    </w:lvl>
  </w:abstractNum>
  <w:abstractNum w:abstractNumId="2">
    <w:nsid w:val="7530FEE7"/>
    <w:multiLevelType w:val="singleLevel"/>
    <w:tmpl w:val="7530FEE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3NDc5NDRmY2M2ODBhZDdjNGMzMGUxODJkMzM3YWUifQ=="/>
  </w:docVars>
  <w:rsids>
    <w:rsidRoot w:val="164721BB"/>
    <w:rsid w:val="164721BB"/>
    <w:rsid w:val="228724F4"/>
    <w:rsid w:val="4802339F"/>
    <w:rsid w:val="4D4F6833"/>
    <w:rsid w:val="4E873E11"/>
    <w:rsid w:val="4EFA3BA1"/>
    <w:rsid w:val="5A1A08C1"/>
    <w:rsid w:val="5A392595"/>
    <w:rsid w:val="68FA7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8" w:lineRule="auto"/>
      <w:jc w:val="center"/>
      <w:outlineLvl w:val="0"/>
    </w:pPr>
    <w:rPr>
      <w:rFonts w:eastAsia="黑体"/>
      <w:kern w:val="44"/>
      <w:sz w:val="48"/>
      <w:szCs w:val="44"/>
    </w:rPr>
  </w:style>
  <w:style w:type="paragraph" w:styleId="2">
    <w:name w:val="heading 2"/>
    <w:basedOn w:val="1"/>
    <w:next w:val="1"/>
    <w:qFormat/>
    <w:uiPriority w:val="0"/>
    <w:pPr>
      <w:keepLines/>
      <w:widowControl/>
      <w:tabs>
        <w:tab w:val="left" w:pos="720"/>
      </w:tabs>
      <w:spacing w:before="260" w:beforeLines="0" w:after="260" w:afterLines="0" w:line="416" w:lineRule="auto"/>
      <w:outlineLvl w:val="1"/>
    </w:pPr>
    <w:rPr>
      <w:rFonts w:ascii="黑体" w:hAnsi="Arial" w:eastAsia="黑体"/>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autoSpaceDE w:val="0"/>
      <w:autoSpaceDN w:val="0"/>
      <w:adjustRightInd w:val="0"/>
      <w:jc w:val="center"/>
      <w:textAlignment w:val="baseline"/>
    </w:pPr>
    <w:rPr>
      <w:rFonts w:ascii="宋体"/>
      <w:kern w:val="0"/>
      <w:sz w:val="32"/>
      <w:szCs w:val="2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character" w:styleId="10">
    <w:name w:val="page number"/>
    <w:qFormat/>
    <w:uiPriority w:val="0"/>
  </w:style>
  <w:style w:type="paragraph" w:customStyle="1" w:styleId="11">
    <w:name w:val="Table Text"/>
    <w:basedOn w:val="1"/>
    <w:semiHidden/>
    <w:qFormat/>
    <w:uiPriority w:val="0"/>
    <w:rPr>
      <w:rFonts w:ascii="宋体" w:hAnsi="宋体" w:eastAsia="宋体" w:cs="宋体"/>
      <w:sz w:val="20"/>
      <w:szCs w:val="20"/>
      <w:lang w:val="en-US" w:eastAsia="en-US" w:bidi="ar-SA"/>
    </w:rPr>
  </w:style>
  <w:style w:type="table" w:customStyle="1" w:styleId="1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12643</Words>
  <Characters>13177</Characters>
  <Lines>0</Lines>
  <Paragraphs>0</Paragraphs>
  <TotalTime>69</TotalTime>
  <ScaleCrop>false</ScaleCrop>
  <LinksUpToDate>false</LinksUpToDate>
  <CharactersWithSpaces>13456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2024-07-08T01:03:00Z</dcterms:created>
  <dc:creator>陈英钊</dc:creator>
  <cp:lastModifiedBy>陈晓</cp:lastModifiedBy>
  <dcterms:modified xsi:type="dcterms:W3CDTF">2025-06-10T08:27:21Z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31A2994A08F04067B1E45830DC33AB4C_13</vt:lpwstr>
  </property>
</Properties>
</file>