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附件4：</w:t>
      </w:r>
    </w:p>
    <w:p>
      <w:pPr>
        <w:pStyle w:val="3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  <w:t>南水镇卫生院医疗卫生服务能力提升工程</w:t>
      </w:r>
    </w:p>
    <w:p>
      <w:pPr>
        <w:pStyle w:val="31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</w:pPr>
      <w:bookmarkStart w:id="1" w:name="_GoBack"/>
      <w:bookmarkEnd w:id="1"/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  <w:t>监控系统建设及弱电布线工程</w:t>
      </w: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调研需求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包4｜本次调研测算价约40万元，最终以采购公告最高限价为准｜质保期3年</w:t>
      </w:r>
    </w:p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一、项目概况</w:t>
      </w:r>
    </w:p>
    <w:p>
      <w:pPr>
        <w:ind w:firstLine="560" w:firstLineChars="200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新院区处于装修阶段，本项目建设视频监控系统及网络/电话综合布线系统。监控系统采用综合监控平台架构，平台统一管理监控资源和门禁授权，保留后续接入道闸、楼宇对讲等系统的扩展能力；平台应用服务器和存储部署于医院本地机房。弱电系统仅含网络和电话综合布线，网络交换机由院方迁移旧设备使用，电话交换机及运营商业务由运营商负责。</w:t>
      </w:r>
    </w:p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二、采购清单</w:t>
      </w:r>
    </w:p>
    <w:tbl>
      <w:tblPr>
        <w:tblStyle w:val="33"/>
        <w:tblW w:w="9626" w:type="dxa"/>
        <w:tblInd w:w="-1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3375"/>
        <w:gridCol w:w="1005"/>
        <w:gridCol w:w="4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337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8"/>
                <w:szCs w:val="28"/>
              </w:rPr>
              <w:t>品目名称</w:t>
            </w:r>
          </w:p>
        </w:tc>
        <w:tc>
          <w:tcPr>
            <w:tcW w:w="100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8"/>
                <w:szCs w:val="28"/>
              </w:rPr>
              <w:t>数量</w:t>
            </w:r>
          </w:p>
        </w:tc>
        <w:tc>
          <w:tcPr>
            <w:tcW w:w="427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auto"/>
                <w:sz w:val="28"/>
                <w:szCs w:val="28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1</w:t>
            </w:r>
          </w:p>
        </w:tc>
        <w:tc>
          <w:tcPr>
            <w:tcW w:w="337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普通网络摄像机</w:t>
            </w:r>
          </w:p>
        </w:tc>
        <w:tc>
          <w:tcPr>
            <w:tcW w:w="100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39台</w:t>
            </w:r>
          </w:p>
        </w:tc>
        <w:tc>
          <w:tcPr>
            <w:tcW w:w="427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1楼11、2楼10、3楼11、4楼1、外围6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2</w:t>
            </w:r>
          </w:p>
        </w:tc>
        <w:tc>
          <w:tcPr>
            <w:tcW w:w="337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人脸抓拍摄像机</w:t>
            </w:r>
          </w:p>
        </w:tc>
        <w:tc>
          <w:tcPr>
            <w:tcW w:w="100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3台</w:t>
            </w:r>
          </w:p>
        </w:tc>
        <w:tc>
          <w:tcPr>
            <w:tcW w:w="427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1楼3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3</w:t>
            </w:r>
          </w:p>
        </w:tc>
        <w:tc>
          <w:tcPr>
            <w:tcW w:w="337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综合监控平台</w:t>
            </w:r>
          </w:p>
        </w:tc>
        <w:tc>
          <w:tcPr>
            <w:tcW w:w="100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1套</w:t>
            </w:r>
          </w:p>
        </w:tc>
        <w:tc>
          <w:tcPr>
            <w:tcW w:w="427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含平台服务器、存储、软件授权</w:t>
            </w:r>
            <w:r>
              <w:rPr>
                <w:rFonts w:hint="eastAsia" w:cs="微软雅黑"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含60路视频50路门禁授权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4</w:t>
            </w:r>
          </w:p>
        </w:tc>
        <w:tc>
          <w:tcPr>
            <w:tcW w:w="337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楼层PoE接入交换机及配套</w:t>
            </w:r>
          </w:p>
        </w:tc>
        <w:tc>
          <w:tcPr>
            <w:tcW w:w="100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1批</w:t>
            </w:r>
          </w:p>
        </w:tc>
        <w:tc>
          <w:tcPr>
            <w:tcW w:w="427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数量按点位图核定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37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监控室</w:t>
            </w:r>
          </w:p>
        </w:tc>
        <w:tc>
          <w:tcPr>
            <w:tcW w:w="100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1项</w:t>
            </w:r>
          </w:p>
        </w:tc>
        <w:tc>
          <w:tcPr>
            <w:tcW w:w="427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监控控制台、显示器、电脑、解码器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37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网络综合布线材料及施工</w:t>
            </w:r>
          </w:p>
        </w:tc>
        <w:tc>
          <w:tcPr>
            <w:tcW w:w="100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1项</w:t>
            </w:r>
          </w:p>
        </w:tc>
        <w:tc>
          <w:tcPr>
            <w:tcW w:w="427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六类非屏蔽、模块、面板、配线架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1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37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电话综合布线材料及施工</w:t>
            </w:r>
          </w:p>
        </w:tc>
        <w:tc>
          <w:tcPr>
            <w:tcW w:w="100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1项</w:t>
            </w:r>
          </w:p>
        </w:tc>
        <w:tc>
          <w:tcPr>
            <w:tcW w:w="4275" w:type="dxa"/>
          </w:tcPr>
          <w:p>
            <w:pPr>
              <w:spacing w:after="0" w:line="240" w:lineRule="auto"/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8"/>
                <w:szCs w:val="28"/>
              </w:rPr>
              <w:t>电话线、RJ11模块、面板、配线设施</w:t>
            </w:r>
          </w:p>
        </w:tc>
      </w:tr>
    </w:tbl>
    <w:p>
      <w:p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注：点位以经确认的楼层点位图为准；摄像机总数42路，平台及存储须预留不少于10路扩容接入能力。</w:t>
      </w:r>
    </w:p>
    <w:p>
      <w:p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随附《附件_各层平面布置图（1-4层，调研参考）》（房间分隔及布局参考）及《调研用简化点位示意图》（各层监控点位数量统计及弱电信息点统计表）。监控安装点位图、弱电点位图及机房布局等详细信息不随公示发布，报名供应商可于现场调研时查阅；报价前须参加现场勘察，点位与数量不一致的，以现场调研核实结果为准并在方案中说明。</w:t>
      </w:r>
    </w:p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三、监控系统技术参数</w:t>
      </w:r>
    </w:p>
    <w:p>
      <w:p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说明：标注"★"的条款为实质条款；其余为一般条款。编码效率要求以性能指标表述，不限实现方式。</w:t>
      </w:r>
    </w:p>
    <w:p>
      <w:pPr>
        <w:pStyle w:val="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（一）前端摄像机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★普通摄像机（39台）：分辨率不低于2560×1440@25fps；支持H.265/H.264编码；支持背光补偿、强光抑制、3D数字降噪、120dB宽动态；室外设备防护等级不低于IP67。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bookmarkStart w:id="0" w:name="OLE_LINK1"/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★编码效率：</w:t>
      </w:r>
      <w:bookmarkEnd w:id="0"/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支持第四代AI超级智能编码（或同等级技术，如观澜编码/SVC增强等），输出兼容标准H.265码流；在同等主观画质下，主码流码率较标准H.265平均降低不低于50%，其中静态场景不低于70%、高动态场景不低于30%，提供第三方或原厂检测报告佐证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★双向语音：内置麦克风和扬声器，支持双向语音对讲。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★低照度成像：大光圈镜头（F值≤F1.6），具备补光能力，夜间成像满足清单规定场景可辨识要求。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★人脸抓拍摄像机（3台）：具备人脸抓拍、电动变焦、人车分类及智能警戒（越界、区域入侵、进入/离开区域侦测）能力；本期仅使用人脸抓拍与查询，不做人脸名单比对。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★支持GB28181及开放SDK/HTTP接口接入平台。</w:t>
      </w:r>
    </w:p>
    <w:p>
      <w:pPr>
        <w:pStyle w:val="1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人车目标分类等智能分析能力应具备，本期按院方要求不启用，不得以未来升级承诺替代。</w:t>
      </w:r>
    </w:p>
    <w:p>
      <w:pPr>
        <w:pStyle w:val="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（二）综合监控平台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★平台为服务器架构的综合监控平台，统一管理视频、用户权限、设备状态和事件；不得以NVR或嵌入式录像机替代平台。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★提供统一认证鉴权、用户/角色/组织/区域/资源管理，权限覆盖菜单、组织、区域、资源及功能控制。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★具备事件中心能力：报警事件接收、处理、联动与检索；支持场景化联动规则（触发条件+并发动作），联动动作包括视频弹窗、录像联动、抓图、短信、邮箱、IO等；事件存储能力不少于7200万条。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★平台在线接入能力不少于300路设备状态及录像状态巡检，满足本期42路+预留10路需要。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★提供NTP校时，支持服务器及设备统一校时。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★录像保存：60路400万像素（按最终核定路数）全天连续录像保存不少于90天；供应商须提交书面容量计算表，不能仅以硬盘原始容量承诺。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★门禁及扩展：平台具备门禁管理授权能力，提供开放接口及设备兼容清单，支持后续接入道闸、楼宇对讲；门禁前端由装修承接方另行提供，平台供应商负责接入验证与联合调试。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平台账号支持绑定MAC/IP、密码有效期、登录类型与认证方式配置。</w:t>
      </w:r>
    </w:p>
    <w:p>
      <w:pPr>
        <w:pStyle w:val="14"/>
        <w:numPr>
          <w:ilvl w:val="0"/>
          <w:numId w:val="7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支持门户工作台配置，展示告警、设备在线趋势等信息。</w:t>
      </w:r>
    </w:p>
    <w:p>
      <w:pPr>
        <w:pStyle w:val="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（三）传输与组网</w:t>
      </w:r>
    </w:p>
    <w:p>
      <w:pPr>
        <w:pStyle w:val="14"/>
        <w:numPr>
          <w:ilvl w:val="0"/>
          <w:numId w:val="8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前端摄像机通过六类非屏蔽网线接入楼层PoE交换机，经既有单模光纤主干进入机房核心网络；</w:t>
      </w:r>
    </w:p>
    <w:p>
      <w:pPr>
        <w:pStyle w:val="14"/>
        <w:numPr>
          <w:ilvl w:val="0"/>
          <w:numId w:val="8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既有光纤主干施工前进行纤芯、连通性与性能检测，合格后利旧；不满足要求时由供应商提出补充敷设方案，经采购人确认后实施，费用纳入报价。</w:t>
      </w:r>
    </w:p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四、弱电布线工程要求</w:t>
      </w:r>
    </w:p>
    <w:p>
      <w:pPr>
        <w:pStyle w:val="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（一）网络综合布线</w:t>
      </w:r>
    </w:p>
    <w:p>
      <w:pPr>
        <w:pStyle w:val="14"/>
        <w:numPr>
          <w:ilvl w:val="0"/>
          <w:numId w:val="9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水平布线采用六类非屏蔽铜缆，配套模块、信息面板、配线架、跳线与线缆类别匹配；</w:t>
      </w:r>
    </w:p>
    <w:p>
      <w:pPr>
        <w:pStyle w:val="14"/>
        <w:numPr>
          <w:ilvl w:val="0"/>
          <w:numId w:val="9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点位、面板、配线架和交换机端口统一编号，链路关系可追溯；</w:t>
      </w:r>
    </w:p>
    <w:p>
      <w:pPr>
        <w:pStyle w:val="14"/>
        <w:numPr>
          <w:ilvl w:val="0"/>
          <w:numId w:val="9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线缆敷设避免挤压、过度拉伸、锐角弯折及不合规强弱电交叉并行；</w:t>
      </w:r>
    </w:p>
    <w:p>
      <w:pPr>
        <w:pStyle w:val="14"/>
        <w:numPr>
          <w:ilvl w:val="0"/>
          <w:numId w:val="9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链路逐点测试并出具测试记录，不合格链路整改后复测。</w:t>
      </w:r>
    </w:p>
    <w:p>
      <w:pPr>
        <w:pStyle w:val="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（二）电话综合布线</w:t>
      </w:r>
    </w:p>
    <w:p>
      <w:pPr>
        <w:pStyle w:val="14"/>
        <w:numPr>
          <w:ilvl w:val="0"/>
          <w:numId w:val="10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电话布线采用清单规定电话线、RJ11模块、面板及配线设施，完成敷设、端接、标识与通断测试；</w:t>
      </w:r>
    </w:p>
    <w:p>
      <w:pPr>
        <w:pStyle w:val="14"/>
        <w:numPr>
          <w:ilvl w:val="0"/>
          <w:numId w:val="10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与运营商明确交接点，配合完成线路接入测试。</w:t>
      </w:r>
    </w:p>
    <w:p>
      <w:pPr>
        <w:pStyle w:val="4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（三）管路施工</w:t>
      </w:r>
    </w:p>
    <w:p>
      <w:pPr>
        <w:pStyle w:val="14"/>
        <w:numPr>
          <w:ilvl w:val="0"/>
          <w:numId w:val="11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垂直通道优先检查利旧，水平通道敷设线管线槽，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lang w:val="en-US" w:eastAsia="zh-CN"/>
        </w:rPr>
        <w:t>不含主桥架及隐蔽工程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；</w:t>
      </w:r>
    </w:p>
    <w:p>
      <w:pPr>
        <w:pStyle w:val="14"/>
        <w:numPr>
          <w:ilvl w:val="0"/>
          <w:numId w:val="11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监控、网络、电话线缆分类敷设并清晰标识，隐蔽工程留存记录。</w:t>
      </w:r>
    </w:p>
    <w:p>
      <w:pPr>
        <w:pStyle w:val="3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五、实施、验收与售后</w:t>
      </w:r>
    </w:p>
    <w:p>
      <w:pPr>
        <w:pStyle w:val="14"/>
        <w:numPr>
          <w:ilvl w:val="0"/>
          <w:numId w:val="12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进场设备、软件、线材须与响应文件一致，未经采购人确认不得替换；</w:t>
      </w:r>
    </w:p>
    <w:p>
      <w:pPr>
        <w:pStyle w:val="14"/>
        <w:numPr>
          <w:ilvl w:val="0"/>
          <w:numId w:val="12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带"★"参数建立逐项核验表，响应、到货、调试、验收保持同一口径；</w:t>
      </w:r>
    </w:p>
    <w:p>
      <w:pPr>
        <w:pStyle w:val="14"/>
        <w:numPr>
          <w:ilvl w:val="0"/>
          <w:numId w:val="12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供应方提交容量计算表、链路测试记录、平台调试记录、培训记录及质保文件；</w:t>
      </w:r>
    </w:p>
    <w:p>
      <w:pPr>
        <w:pStyle w:val="14"/>
        <w:numPr>
          <w:ilvl w:val="0"/>
          <w:numId w:val="12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交付后对院方人员开展现场培训（平台使用、录像回放、事件检索、存储核查、日常维护）；</w:t>
      </w:r>
    </w:p>
    <w:p>
      <w:pPr>
        <w:pStyle w:val="14"/>
        <w:numPr>
          <w:ilvl w:val="0"/>
          <w:numId w:val="12"/>
        </w:numPr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</w:rPr>
        <w:t>质保三年，提供故障受理、技术支持、现场维修及备件更换服务；响应时限在采购合同中明确。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XcGJSymbol"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BD602AB"/>
    <w:rsid w:val="23086013"/>
    <w:rsid w:val="2E037EBD"/>
    <w:rsid w:val="2E401EE2"/>
    <w:rsid w:val="428E44A1"/>
    <w:rsid w:val="4A1B5443"/>
    <w:rsid w:val="500E3D0B"/>
    <w:rsid w:val="68093C13"/>
    <w:rsid w:val="7D96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GC</cp:lastModifiedBy>
  <dcterms:modified xsi:type="dcterms:W3CDTF">2026-10-30T01:54:28Z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F30C2D43056E41D28C588E240459302B</vt:lpwstr>
  </property>
</Properties>
</file>