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附件1：</w:t>
      </w:r>
    </w:p>
    <w:p>
      <w:pPr>
        <w:spacing w:after="120" w:line="360" w:lineRule="auto"/>
        <w:jc w:val="center"/>
        <w:rPr>
          <w:rFonts w:hint="eastAsia" w:ascii="微软雅黑" w:hAnsi="微软雅黑" w:eastAsia="微软雅黑" w:cs="微软雅黑"/>
          <w:b/>
          <w:bCs w:val="0"/>
          <w:color w:val="000000"/>
          <w:spacing w:val="0"/>
          <w:kern w:val="0"/>
          <w:sz w:val="32"/>
          <w:szCs w:val="32"/>
          <w:lang w:val="en-US" w:eastAsia="en-US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000000"/>
          <w:sz w:val="32"/>
          <w:szCs w:val="32"/>
        </w:rPr>
        <w:t>南水镇卫生院医疗卫生服务能力提升工程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 w:val="0"/>
          <w:color w:val="000000"/>
          <w:sz w:val="32"/>
          <w:szCs w:val="32"/>
        </w:rPr>
        <w:t>超融合平台</w:t>
      </w:r>
      <w:r>
        <w:rPr>
          <w:rFonts w:hint="eastAsia" w:ascii="微软雅黑" w:hAnsi="微软雅黑" w:eastAsia="微软雅黑" w:cs="微软雅黑"/>
          <w:b/>
          <w:bCs w:val="0"/>
          <w:color w:val="000000"/>
          <w:spacing w:val="0"/>
          <w:kern w:val="0"/>
          <w:sz w:val="32"/>
          <w:szCs w:val="32"/>
          <w:lang w:val="en-US" w:eastAsia="en-US" w:bidi="ar-SA"/>
        </w:rPr>
        <w:t>调研需求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包1｜预算测算约85万元，最终以采购公告最高限价为准｜质保期3年</w:t>
      </w:r>
    </w:p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一、背景</w:t>
      </w:r>
    </w:p>
    <w:p>
      <w:p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我院在用虚拟化平台建于2018年，由6台服务器及1台存储组成，承载医院信息平台、体检、HRP等33台虚拟机。因新院区机房整体搬迁、旧平台硬件故障风险高且无冗余承载迁移，须先行采购超融合平台替换旧平台，同时满足未来5年扩展需求。本参数同时兼容国产主流技术路线（x86兼容国产处理器路线），以完成院内现有业务系统迁移验证为最终口径。</w:t>
      </w:r>
    </w:p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二、采购清单</w:t>
      </w:r>
    </w:p>
    <w:tbl>
      <w:tblPr>
        <w:tblStyle w:val="34"/>
        <w:tblW w:w="92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2715"/>
        <w:gridCol w:w="1860"/>
        <w:gridCol w:w="36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1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71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8"/>
                <w:szCs w:val="28"/>
              </w:rPr>
              <w:t>品目名称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8"/>
                <w:szCs w:val="28"/>
              </w:rPr>
              <w:t>数量</w:t>
            </w:r>
          </w:p>
        </w:tc>
        <w:tc>
          <w:tcPr>
            <w:tcW w:w="3630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8"/>
                <w:szCs w:val="28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1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1</w:t>
            </w:r>
          </w:p>
        </w:tc>
        <w:tc>
          <w:tcPr>
            <w:tcW w:w="271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超融合节点服务器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3台</w:t>
            </w:r>
          </w:p>
        </w:tc>
        <w:tc>
          <w:tcPr>
            <w:tcW w:w="3630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详见技术参数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1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2</w:t>
            </w:r>
          </w:p>
        </w:tc>
        <w:tc>
          <w:tcPr>
            <w:tcW w:w="271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虚拟化软件授权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1套</w:t>
            </w:r>
          </w:p>
        </w:tc>
        <w:tc>
          <w:tcPr>
            <w:tcW w:w="3630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覆盖全部节点CPU许可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1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3</w:t>
            </w:r>
          </w:p>
        </w:tc>
        <w:tc>
          <w:tcPr>
            <w:tcW w:w="271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业务交换机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2台</w:t>
            </w:r>
          </w:p>
        </w:tc>
        <w:tc>
          <w:tcPr>
            <w:tcW w:w="3630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详见技术参数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1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4</w:t>
            </w:r>
          </w:p>
        </w:tc>
        <w:tc>
          <w:tcPr>
            <w:tcW w:w="271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虚拟机迁移服务</w:t>
            </w:r>
          </w:p>
        </w:tc>
        <w:tc>
          <w:tcPr>
            <w:tcW w:w="1860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1项</w:t>
            </w:r>
          </w:p>
        </w:tc>
        <w:tc>
          <w:tcPr>
            <w:tcW w:w="3630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含33台虚拟机迁移</w:t>
            </w:r>
          </w:p>
        </w:tc>
      </w:tr>
    </w:tbl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三、技术参数</w:t>
      </w:r>
    </w:p>
    <w:p>
      <w:p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说明：标注"★"的条款为实质条款，须满足并可提供证明；其余为一般条款，允许以"满足或相当于"方式响应。证明材料以产品功能截图（加盖厂商公章）或第三方检测报告任一方式提供即可，同一功能不重复要求证书。</w:t>
      </w:r>
    </w:p>
    <w:p>
      <w:pPr>
        <w:pStyle w:val="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（一）★实质条款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★采用国产化处理器及国产化操作系统（含x86兼容国产路线），满足信创要求；须承诺兼容并完成院内现有33台虚拟机业务系统（医院信息平台、体检、HRP等）的迁移验证。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★集群配置（3节点合计）：可用计算资源不低于192核、内存不低于768GB；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可用总存储容量不低于96TB裸容量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★单节点配置：2颗国产处理器（单颗≥32核、主频≥2.6GHz）；内存≥256GB DDR5；系统盘2×480GB SSD；缓存盘2×960GB SSD；数据盘4×8TB；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网口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≥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4千兆电口+2万兆光口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；冗余电源；2U机架式。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★支持HA高可用、DRS动态资源调度、在线迁移、存储多副本、快照与备份，以上均支持批量操作。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★数据重建速率不低于30分钟/TB（多副本故障重建），重建过程可查看任务列表并支持优先级调整。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虚拟机迁移服务：现有平台不少于33台虚拟机完整迁移至新平台并逐台登记造册；迁移前后数据一致性可校验、业务数据零丢失；核心业务切换期间业务中断不超过30分钟，提供切换失败回退方案；迁移完成后连续稳定运行30天无异常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★提供原厂三年质保及7×24小时技术支持。</w:t>
      </w:r>
    </w:p>
    <w:p>
      <w:pPr>
        <w:pStyle w:val="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（二）一般条款（满足或相当于）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超融合平台支持在线升级且不影响业务，升级过程支持节点顺序编排与升级暂停。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DRS支持性能均衡与成本最优两种模式，支持AI辅助调度建议及调度时间段设置。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支持主动HA：亚健康主机上的虚拟机可热迁移至健康主机。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内存支持ECC自动纠错，出现ECC CE/UE错误时可隔离对应内存空间并告警槽位。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支持外置存储多路径检测，可基于IO延时识别并自动隔离亚健康路径。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支持硬盘寿命预测、定时坏道扫描及坏道后自动迁移修复数据。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支持存储卷按需启用RDMA；支持虚拟磁盘级数据分布（副本聚合）策略。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支持对x86、ARM架构物理机生命周期管理并实时监控CPU、内存。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支持告警时间线展示、内存泄漏预测、云主机多维度监控与阈值告警。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支持虚拟机CPU预留机制，可按时间段启用并设置主机统一CPU预留比例。</w:t>
      </w:r>
    </w:p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四、业务交换机参数</w:t>
      </w:r>
    </w:p>
    <w:p>
      <w:pPr>
        <w:pStyle w:val="14"/>
        <w:numPr>
          <w:ilvl w:val="0"/>
          <w:numId w:val="8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交换容量≥672Gbps，包转发率≥200Mpps；</w:t>
      </w:r>
    </w:p>
    <w:p>
      <w:pPr>
        <w:pStyle w:val="14"/>
        <w:numPr>
          <w:ilvl w:val="0"/>
          <w:numId w:val="8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10/100/1000BASE-T以太网端口≥48个，万兆SFP+端口≥6个；</w:t>
      </w:r>
    </w:p>
    <w:p>
      <w:pPr>
        <w:pStyle w:val="14"/>
        <w:numPr>
          <w:ilvl w:val="0"/>
          <w:numId w:val="8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三年期硬件质保。</w:t>
      </w:r>
    </w:p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五、证明材料要求</w:t>
      </w:r>
    </w:p>
    <w:p>
      <w:pPr>
        <w:pStyle w:val="14"/>
        <w:numPr>
          <w:ilvl w:val="0"/>
          <w:numId w:val="9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国产化适配证明（处理器及操作系统厂商适配证明或信创产品名录截图）；</w:t>
      </w:r>
    </w:p>
    <w:p>
      <w:pPr>
        <w:pStyle w:val="14"/>
        <w:numPr>
          <w:ilvl w:val="0"/>
          <w:numId w:val="9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数据重建速率（30分钟/TB）第三方检测报告或原厂技术白皮书；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FD36EE"/>
    <w:rsid w:val="168B188D"/>
    <w:rsid w:val="1EB07BDA"/>
    <w:rsid w:val="2C457117"/>
    <w:rsid w:val="45F72659"/>
    <w:rsid w:val="46A10859"/>
    <w:rsid w:val="54007DED"/>
    <w:rsid w:val="5D114601"/>
    <w:rsid w:val="66085AAD"/>
    <w:rsid w:val="6A5C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qFormat/>
    <w:uiPriority w:val="99"/>
    <w:pPr>
      <w:jc w:val="left"/>
    </w:p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6"/>
    <w:qFormat/>
    <w:uiPriority w:val="99"/>
  </w:style>
  <w:style w:type="character" w:customStyle="1" w:styleId="137">
    <w:name w:val="Footer Char"/>
    <w:basedOn w:val="133"/>
    <w:link w:val="25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20"/>
    <w:qFormat/>
    <w:uiPriority w:val="99"/>
  </w:style>
  <w:style w:type="character" w:customStyle="1" w:styleId="146">
    <w:name w:val="Body Text 2 Char"/>
    <w:basedOn w:val="133"/>
    <w:link w:val="29"/>
    <w:qFormat/>
    <w:uiPriority w:val="99"/>
  </w:style>
  <w:style w:type="character" w:customStyle="1" w:styleId="147">
    <w:name w:val="Body Text 3 Char"/>
    <w:basedOn w:val="133"/>
    <w:link w:val="18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GC</cp:lastModifiedBy>
  <dcterms:modified xsi:type="dcterms:W3CDTF">2026-10-30T01:53:21Z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3FDBBC721A8E41EDBDA191FA54E3C3D6</vt:lpwstr>
  </property>
</Properties>
</file>